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05BA" w14:textId="77777777" w:rsidR="00010CD7" w:rsidRDefault="007C109B" w:rsidP="007C109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r w:rsidR="00EF4B74">
        <w:rPr>
          <w:rFonts w:ascii="Times New Roman" w:hAnsi="Times New Roman" w:cs="Times New Roman"/>
          <w:b/>
          <w:sz w:val="24"/>
          <w:szCs w:val="24"/>
          <w:lang w:val="en-US"/>
        </w:rPr>
        <w:t xml:space="preserve">COSTS AND BENEFITS OF </w:t>
      </w:r>
      <w:r w:rsidR="008B7C9F">
        <w:rPr>
          <w:rFonts w:ascii="Times New Roman" w:hAnsi="Times New Roman" w:cs="Times New Roman"/>
          <w:b/>
          <w:sz w:val="24"/>
          <w:szCs w:val="24"/>
          <w:lang w:val="en-US"/>
        </w:rPr>
        <w:t xml:space="preserve">COVID-19 </w:t>
      </w:r>
      <w:r w:rsidR="00EF4B74">
        <w:rPr>
          <w:rFonts w:ascii="Times New Roman" w:hAnsi="Times New Roman" w:cs="Times New Roman"/>
          <w:b/>
          <w:sz w:val="24"/>
          <w:szCs w:val="24"/>
          <w:lang w:val="en-US"/>
        </w:rPr>
        <w:t xml:space="preserve">LOCKDOWNS IN </w:t>
      </w:r>
      <w:r w:rsidR="008B7C9F">
        <w:rPr>
          <w:rFonts w:ascii="Times New Roman" w:hAnsi="Times New Roman" w:cs="Times New Roman"/>
          <w:b/>
          <w:sz w:val="24"/>
          <w:szCs w:val="24"/>
          <w:lang w:val="en-US"/>
        </w:rPr>
        <w:t>AUSTR</w:t>
      </w:r>
      <w:r w:rsidR="00EF4B74">
        <w:rPr>
          <w:rFonts w:ascii="Times New Roman" w:hAnsi="Times New Roman" w:cs="Times New Roman"/>
          <w:b/>
          <w:sz w:val="24"/>
          <w:szCs w:val="24"/>
          <w:lang w:val="en-US"/>
        </w:rPr>
        <w:t>ALIA</w:t>
      </w:r>
    </w:p>
    <w:p w14:paraId="497275A7" w14:textId="77777777" w:rsidR="007C109B" w:rsidRDefault="007C109B" w:rsidP="007C109B">
      <w:pPr>
        <w:spacing w:after="0" w:line="360" w:lineRule="auto"/>
        <w:jc w:val="center"/>
        <w:rPr>
          <w:rFonts w:ascii="Times New Roman" w:hAnsi="Times New Roman" w:cs="Times New Roman"/>
          <w:b/>
          <w:sz w:val="24"/>
          <w:szCs w:val="24"/>
          <w:lang w:val="en-US"/>
        </w:rPr>
      </w:pPr>
    </w:p>
    <w:p w14:paraId="471873A4" w14:textId="77777777" w:rsidR="007C109B" w:rsidRDefault="006B2F3B" w:rsidP="007C109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7C109B">
        <w:rPr>
          <w:rFonts w:ascii="Times New Roman" w:hAnsi="Times New Roman" w:cs="Times New Roman"/>
          <w:sz w:val="24"/>
          <w:szCs w:val="24"/>
          <w:lang w:val="en-US"/>
        </w:rPr>
        <w:t>Martin Lally</w:t>
      </w:r>
    </w:p>
    <w:p w14:paraId="10192A9B" w14:textId="77777777" w:rsidR="007C109B" w:rsidRDefault="007C109B" w:rsidP="007C109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Capital Financial Consultants</w:t>
      </w:r>
    </w:p>
    <w:p w14:paraId="30842F7C" w14:textId="77777777" w:rsidR="007C109B" w:rsidRDefault="00F13AB0" w:rsidP="007C109B">
      <w:pPr>
        <w:spacing w:after="0" w:line="360" w:lineRule="auto"/>
        <w:jc w:val="center"/>
        <w:rPr>
          <w:rFonts w:ascii="Times New Roman" w:hAnsi="Times New Roman" w:cs="Times New Roman"/>
          <w:sz w:val="24"/>
          <w:szCs w:val="24"/>
          <w:lang w:val="en-US"/>
        </w:rPr>
      </w:pPr>
      <w:hyperlink r:id="rId8" w:history="1">
        <w:r w:rsidR="00C70EEA" w:rsidRPr="007B7E9A">
          <w:rPr>
            <w:rStyle w:val="Hyperlink"/>
            <w:rFonts w:ascii="Times New Roman" w:hAnsi="Times New Roman" w:cs="Times New Roman"/>
            <w:sz w:val="24"/>
            <w:szCs w:val="24"/>
            <w:lang w:val="en-US"/>
          </w:rPr>
          <w:t>lallym@xtra.co.nz</w:t>
        </w:r>
      </w:hyperlink>
      <w:r w:rsidR="00C70EEA">
        <w:rPr>
          <w:rFonts w:ascii="Times New Roman" w:hAnsi="Times New Roman" w:cs="Times New Roman"/>
          <w:sz w:val="24"/>
          <w:szCs w:val="24"/>
          <w:lang w:val="en-US"/>
        </w:rPr>
        <w:t xml:space="preserve"> </w:t>
      </w:r>
    </w:p>
    <w:p w14:paraId="5A1E8435" w14:textId="77777777" w:rsidR="00E863E1" w:rsidRDefault="00E863E1" w:rsidP="007C109B">
      <w:pPr>
        <w:spacing w:after="0" w:line="360" w:lineRule="auto"/>
        <w:jc w:val="center"/>
        <w:rPr>
          <w:rFonts w:ascii="Times New Roman" w:hAnsi="Times New Roman" w:cs="Times New Roman"/>
          <w:sz w:val="24"/>
          <w:szCs w:val="24"/>
          <w:lang w:val="en-US"/>
        </w:rPr>
      </w:pPr>
    </w:p>
    <w:p w14:paraId="5FC2CF20" w14:textId="77777777" w:rsidR="007C109B" w:rsidRDefault="00175437" w:rsidP="007C109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C26C0D">
        <w:rPr>
          <w:rFonts w:ascii="Times New Roman" w:hAnsi="Times New Roman" w:cs="Times New Roman"/>
          <w:sz w:val="24"/>
          <w:szCs w:val="24"/>
          <w:lang w:val="en-US"/>
        </w:rPr>
        <w:t xml:space="preserve"> February </w:t>
      </w:r>
      <w:r w:rsidR="00A40A7B">
        <w:rPr>
          <w:rFonts w:ascii="Times New Roman" w:hAnsi="Times New Roman" w:cs="Times New Roman"/>
          <w:sz w:val="24"/>
          <w:szCs w:val="24"/>
          <w:lang w:val="en-US"/>
        </w:rPr>
        <w:t>2021</w:t>
      </w:r>
    </w:p>
    <w:p w14:paraId="4F90F1B7" w14:textId="77777777" w:rsidR="008E319D" w:rsidRDefault="008E319D">
      <w:pPr>
        <w:rPr>
          <w:rFonts w:ascii="Times New Roman" w:hAnsi="Times New Roman" w:cs="Times New Roman"/>
          <w:sz w:val="24"/>
          <w:szCs w:val="24"/>
          <w:lang w:val="en-US"/>
        </w:rPr>
      </w:pPr>
    </w:p>
    <w:p w14:paraId="0695D353" w14:textId="77777777" w:rsidR="000E3C5F" w:rsidRDefault="000E3C5F">
      <w:pPr>
        <w:rPr>
          <w:rFonts w:ascii="Times New Roman" w:hAnsi="Times New Roman" w:cs="Times New Roman"/>
          <w:sz w:val="24"/>
          <w:szCs w:val="24"/>
          <w:lang w:val="en-US"/>
        </w:rPr>
      </w:pPr>
    </w:p>
    <w:p w14:paraId="3CD8C276" w14:textId="77777777" w:rsidR="000E3C5F" w:rsidRDefault="004A1C7C" w:rsidP="00D6794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p>
    <w:p w14:paraId="62A90241" w14:textId="77777777" w:rsidR="0049587C" w:rsidRDefault="0049587C" w:rsidP="0049587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has considered the costs and benefits of Australia’s lockdown strategy relative to pursuit of a mitigation strategy in March 2020.  The estimate is 4,000 - 17,000 additional deaths to 30 December 2020 from mitigation, plus further deaths over the next several months until mass vaccination of high-risk groups will be achieved.  The result is that the cost per Quality Adjusted Life Year saved by locking down is estimated to be at least 11 times the generally employed figure of $100,000 for health interventions in Australia.  Consideration of the information available to the Australian government in March 2020 yields a similar ratio and therefore strongly supported adoption of a mitigation strategy at that time.  If Australia experiences a new outbreak, and cannot contain it without resort to nationwide lockdowns, the death toll from adopting a mitigation strategy at this point would be even less than had it done so in March 2020, because the period over which the virus would then inflict casualties would now be much less than the period from March 2020.  This would favour a mitigation policy even more strongly than in March 2020.  </w:t>
      </w:r>
    </w:p>
    <w:p w14:paraId="08C86C35" w14:textId="77777777" w:rsidR="00400C01" w:rsidRDefault="00747FC5" w:rsidP="00400C0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BEBD2A6" w14:textId="77777777" w:rsidR="00400C01" w:rsidRPr="00CB285D" w:rsidRDefault="00400C01" w:rsidP="00CB285D">
      <w:pPr>
        <w:spacing w:after="0" w:line="240" w:lineRule="auto"/>
        <w:jc w:val="both"/>
        <w:rPr>
          <w:rFonts w:ascii="Times New Roman" w:hAnsi="Times New Roman" w:cs="Times New Roman"/>
          <w:sz w:val="24"/>
          <w:szCs w:val="24"/>
          <w:lang w:val="en-US"/>
        </w:rPr>
      </w:pPr>
    </w:p>
    <w:p w14:paraId="70FCCFEB" w14:textId="77777777" w:rsidR="0058624B" w:rsidRPr="00CB285D" w:rsidRDefault="0058624B" w:rsidP="00CB285D">
      <w:pPr>
        <w:spacing w:after="0" w:line="240" w:lineRule="auto"/>
        <w:jc w:val="both"/>
        <w:rPr>
          <w:rFonts w:ascii="Times New Roman" w:hAnsi="Times New Roman" w:cs="Times New Roman"/>
          <w:sz w:val="24"/>
          <w:szCs w:val="24"/>
          <w:lang w:val="en-US"/>
        </w:rPr>
      </w:pPr>
    </w:p>
    <w:p w14:paraId="2DC14B41" w14:textId="77777777" w:rsidR="004A1C7C" w:rsidRDefault="004A1C7C" w:rsidP="004A1C7C">
      <w:pPr>
        <w:jc w:val="both"/>
        <w:rPr>
          <w:rFonts w:ascii="Times New Roman" w:hAnsi="Times New Roman" w:cs="Times New Roman"/>
          <w:sz w:val="24"/>
          <w:szCs w:val="24"/>
          <w:lang w:val="en-US"/>
        </w:rPr>
      </w:pPr>
    </w:p>
    <w:p w14:paraId="6B70D134" w14:textId="77777777" w:rsidR="00816C3A" w:rsidRDefault="00816C3A" w:rsidP="004A1C7C">
      <w:pPr>
        <w:jc w:val="both"/>
        <w:rPr>
          <w:rFonts w:ascii="Times New Roman" w:hAnsi="Times New Roman" w:cs="Times New Roman"/>
          <w:sz w:val="24"/>
          <w:szCs w:val="24"/>
          <w:lang w:val="en-US"/>
        </w:rPr>
      </w:pPr>
    </w:p>
    <w:p w14:paraId="6216BADD" w14:textId="77777777" w:rsidR="00816C3A" w:rsidRDefault="00816C3A" w:rsidP="004A1C7C">
      <w:pPr>
        <w:jc w:val="both"/>
        <w:rPr>
          <w:rFonts w:ascii="Times New Roman" w:hAnsi="Times New Roman" w:cs="Times New Roman"/>
          <w:sz w:val="24"/>
          <w:szCs w:val="24"/>
          <w:lang w:val="en-US"/>
        </w:rPr>
      </w:pPr>
    </w:p>
    <w:p w14:paraId="1D0B9D9C" w14:textId="77777777" w:rsidR="00EA65EA" w:rsidRDefault="00A24B25" w:rsidP="0084271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helpful comments of </w:t>
      </w:r>
      <w:r w:rsidR="00882288">
        <w:rPr>
          <w:rFonts w:ascii="Times New Roman" w:hAnsi="Times New Roman" w:cs="Times New Roman"/>
          <w:sz w:val="24"/>
          <w:szCs w:val="24"/>
          <w:lang w:val="en-US"/>
        </w:rPr>
        <w:t xml:space="preserve">Paul </w:t>
      </w:r>
      <w:proofErr w:type="spellStart"/>
      <w:r w:rsidR="00882288">
        <w:rPr>
          <w:rFonts w:ascii="Times New Roman" w:hAnsi="Times New Roman" w:cs="Times New Roman"/>
          <w:sz w:val="24"/>
          <w:szCs w:val="24"/>
          <w:lang w:val="en-US"/>
        </w:rPr>
        <w:t>Frijters</w:t>
      </w:r>
      <w:proofErr w:type="spellEnd"/>
      <w:r w:rsidR="00882288">
        <w:rPr>
          <w:rFonts w:ascii="Times New Roman" w:hAnsi="Times New Roman" w:cs="Times New Roman"/>
          <w:sz w:val="24"/>
          <w:szCs w:val="24"/>
          <w:lang w:val="en-US"/>
        </w:rPr>
        <w:t xml:space="preserve">, </w:t>
      </w:r>
      <w:r>
        <w:rPr>
          <w:rFonts w:ascii="Times New Roman" w:hAnsi="Times New Roman" w:cs="Times New Roman"/>
          <w:sz w:val="24"/>
          <w:szCs w:val="24"/>
          <w:lang w:val="en-US"/>
        </w:rPr>
        <w:t>Hai Lin</w:t>
      </w:r>
      <w:r w:rsidR="0084271A">
        <w:rPr>
          <w:rFonts w:ascii="Times New Roman" w:hAnsi="Times New Roman" w:cs="Times New Roman"/>
          <w:sz w:val="24"/>
          <w:szCs w:val="24"/>
          <w:lang w:val="en-US"/>
        </w:rPr>
        <w:t xml:space="preserve">, </w:t>
      </w:r>
      <w:r w:rsidR="003F3D3A">
        <w:rPr>
          <w:rFonts w:ascii="Times New Roman" w:hAnsi="Times New Roman" w:cs="Times New Roman"/>
          <w:sz w:val="24"/>
          <w:szCs w:val="24"/>
          <w:lang w:val="en-US"/>
        </w:rPr>
        <w:t xml:space="preserve">Arthur Grimes </w:t>
      </w:r>
      <w:r w:rsidR="0084271A">
        <w:rPr>
          <w:rFonts w:ascii="Times New Roman" w:hAnsi="Times New Roman" w:cs="Times New Roman"/>
          <w:sz w:val="24"/>
          <w:szCs w:val="24"/>
          <w:lang w:val="en-US"/>
        </w:rPr>
        <w:t xml:space="preserve">and Lyndon Moore </w:t>
      </w:r>
      <w:r>
        <w:rPr>
          <w:rFonts w:ascii="Times New Roman" w:hAnsi="Times New Roman" w:cs="Times New Roman"/>
          <w:sz w:val="24"/>
          <w:szCs w:val="24"/>
          <w:lang w:val="en-US"/>
        </w:rPr>
        <w:t>are gratefully acknowledged.</w:t>
      </w:r>
    </w:p>
    <w:p w14:paraId="61AA1DAC" w14:textId="77777777" w:rsidR="008E319D" w:rsidRDefault="008E319D">
      <w:pPr>
        <w:rPr>
          <w:rFonts w:ascii="Times New Roman" w:hAnsi="Times New Roman" w:cs="Times New Roman"/>
          <w:sz w:val="24"/>
          <w:szCs w:val="24"/>
          <w:lang w:val="en-US"/>
        </w:rPr>
      </w:pPr>
    </w:p>
    <w:p w14:paraId="56412B92" w14:textId="77777777" w:rsidR="00957442" w:rsidRDefault="00957442" w:rsidP="00616B98">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D3162F2" w14:textId="77777777" w:rsidR="007C109B" w:rsidRDefault="000E3C5F" w:rsidP="007C109B">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w:t>
      </w:r>
      <w:r w:rsidR="007C109B">
        <w:rPr>
          <w:rFonts w:ascii="Times New Roman" w:hAnsi="Times New Roman" w:cs="Times New Roman"/>
          <w:b/>
          <w:sz w:val="24"/>
          <w:szCs w:val="24"/>
          <w:lang w:val="en-US"/>
        </w:rPr>
        <w:t>ntroduction</w:t>
      </w:r>
    </w:p>
    <w:p w14:paraId="0AADAEC4" w14:textId="77777777" w:rsidR="007C109B" w:rsidRDefault="007C109B" w:rsidP="007C109B">
      <w:pPr>
        <w:spacing w:after="0" w:line="360" w:lineRule="auto"/>
        <w:jc w:val="both"/>
        <w:rPr>
          <w:rFonts w:ascii="Times New Roman" w:hAnsi="Times New Roman" w:cs="Times New Roman"/>
          <w:b/>
          <w:sz w:val="24"/>
          <w:szCs w:val="24"/>
          <w:lang w:val="en-US"/>
        </w:rPr>
      </w:pPr>
    </w:p>
    <w:p w14:paraId="4416484E" w14:textId="77777777" w:rsidR="00E52F09" w:rsidRDefault="00975684"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with most other countries, </w:t>
      </w:r>
      <w:r w:rsidR="00EE55FD">
        <w:rPr>
          <w:rFonts w:ascii="Times New Roman" w:hAnsi="Times New Roman" w:cs="Times New Roman"/>
          <w:sz w:val="24"/>
          <w:szCs w:val="24"/>
          <w:lang w:val="en-US"/>
        </w:rPr>
        <w:t>in early 2020</w:t>
      </w:r>
      <w:r w:rsidR="00B80370">
        <w:rPr>
          <w:rFonts w:ascii="Times New Roman" w:hAnsi="Times New Roman" w:cs="Times New Roman"/>
          <w:sz w:val="24"/>
          <w:szCs w:val="24"/>
          <w:lang w:val="en-US"/>
        </w:rPr>
        <w:t xml:space="preserve">, </w:t>
      </w:r>
      <w:r w:rsidR="004B194B">
        <w:rPr>
          <w:rFonts w:ascii="Times New Roman" w:hAnsi="Times New Roman" w:cs="Times New Roman"/>
          <w:sz w:val="24"/>
          <w:szCs w:val="24"/>
          <w:lang w:val="en-US"/>
        </w:rPr>
        <w:t>Australia’s</w:t>
      </w:r>
      <w:r w:rsidR="00A73AE2">
        <w:rPr>
          <w:rFonts w:ascii="Times New Roman" w:hAnsi="Times New Roman" w:cs="Times New Roman"/>
          <w:sz w:val="24"/>
          <w:szCs w:val="24"/>
          <w:lang w:val="en-US"/>
        </w:rPr>
        <w:t xml:space="preserve"> </w:t>
      </w:r>
      <w:r w:rsidR="00EF4B74">
        <w:rPr>
          <w:rFonts w:ascii="Times New Roman" w:hAnsi="Times New Roman" w:cs="Times New Roman"/>
          <w:sz w:val="24"/>
          <w:szCs w:val="24"/>
          <w:lang w:val="en-US"/>
        </w:rPr>
        <w:t xml:space="preserve">federal and </w:t>
      </w:r>
      <w:r w:rsidR="00A73AE2">
        <w:rPr>
          <w:rFonts w:ascii="Times New Roman" w:hAnsi="Times New Roman" w:cs="Times New Roman"/>
          <w:sz w:val="24"/>
          <w:szCs w:val="24"/>
          <w:lang w:val="en-US"/>
        </w:rPr>
        <w:t xml:space="preserve">state </w:t>
      </w:r>
      <w:r w:rsidR="00106B43">
        <w:rPr>
          <w:rFonts w:ascii="Times New Roman" w:hAnsi="Times New Roman" w:cs="Times New Roman"/>
          <w:sz w:val="24"/>
          <w:szCs w:val="24"/>
          <w:lang w:val="en-US"/>
        </w:rPr>
        <w:t>government</w:t>
      </w:r>
      <w:r w:rsidR="00A73AE2">
        <w:rPr>
          <w:rFonts w:ascii="Times New Roman" w:hAnsi="Times New Roman" w:cs="Times New Roman"/>
          <w:sz w:val="24"/>
          <w:szCs w:val="24"/>
          <w:lang w:val="en-US"/>
        </w:rPr>
        <w:t>s</w:t>
      </w:r>
      <w:r w:rsidR="00106B43">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implemented substantial curtailment</w:t>
      </w:r>
      <w:r w:rsidR="00A73AE2">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00F60E11">
        <w:rPr>
          <w:rFonts w:ascii="Times New Roman" w:hAnsi="Times New Roman" w:cs="Times New Roman"/>
          <w:sz w:val="24"/>
          <w:szCs w:val="24"/>
          <w:lang w:val="en-US"/>
        </w:rPr>
        <w:t xml:space="preserve">economic </w:t>
      </w:r>
      <w:r>
        <w:rPr>
          <w:rFonts w:ascii="Times New Roman" w:hAnsi="Times New Roman" w:cs="Times New Roman"/>
          <w:sz w:val="24"/>
          <w:szCs w:val="24"/>
          <w:lang w:val="en-US"/>
        </w:rPr>
        <w:t xml:space="preserve">activities </w:t>
      </w:r>
      <w:r w:rsidR="00DB751B">
        <w:rPr>
          <w:rFonts w:ascii="Times New Roman" w:hAnsi="Times New Roman" w:cs="Times New Roman"/>
          <w:sz w:val="24"/>
          <w:szCs w:val="24"/>
          <w:lang w:val="en-US"/>
        </w:rPr>
        <w:t xml:space="preserve">in order to </w:t>
      </w:r>
      <w:r w:rsidR="007C109B">
        <w:rPr>
          <w:rFonts w:ascii="Times New Roman" w:hAnsi="Times New Roman" w:cs="Times New Roman"/>
          <w:sz w:val="24"/>
          <w:szCs w:val="24"/>
          <w:lang w:val="en-US"/>
        </w:rPr>
        <w:t>reduce the death toll from Covid-19</w:t>
      </w:r>
      <w:r>
        <w:rPr>
          <w:rFonts w:ascii="Times New Roman" w:hAnsi="Times New Roman" w:cs="Times New Roman"/>
          <w:sz w:val="24"/>
          <w:szCs w:val="24"/>
          <w:lang w:val="en-US"/>
        </w:rPr>
        <w:t xml:space="preserve"> (“lockdown</w:t>
      </w:r>
      <w:r w:rsidR="00EE55FD">
        <w:rPr>
          <w:rFonts w:ascii="Times New Roman" w:hAnsi="Times New Roman" w:cs="Times New Roman"/>
          <w:sz w:val="24"/>
          <w:szCs w:val="24"/>
          <w:lang w:val="en-US"/>
        </w:rPr>
        <w:t>s</w:t>
      </w:r>
      <w:r>
        <w:rPr>
          <w:rFonts w:ascii="Times New Roman" w:hAnsi="Times New Roman" w:cs="Times New Roman"/>
          <w:sz w:val="24"/>
          <w:szCs w:val="24"/>
          <w:lang w:val="en-US"/>
        </w:rPr>
        <w:t>”)</w:t>
      </w:r>
      <w:r w:rsidR="007C1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Since then, </w:t>
      </w:r>
      <w:r w:rsidR="0019560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curtailments have been </w:t>
      </w:r>
      <w:r w:rsidR="00662C8F">
        <w:rPr>
          <w:rFonts w:ascii="Times New Roman" w:hAnsi="Times New Roman" w:cs="Times New Roman"/>
          <w:sz w:val="24"/>
          <w:szCs w:val="24"/>
          <w:lang w:val="en-US"/>
        </w:rPr>
        <w:t xml:space="preserve">substantially relaxed, </w:t>
      </w:r>
      <w:r w:rsidR="0084271A">
        <w:rPr>
          <w:rFonts w:ascii="Times New Roman" w:hAnsi="Times New Roman" w:cs="Times New Roman"/>
          <w:sz w:val="24"/>
          <w:szCs w:val="24"/>
          <w:lang w:val="en-US"/>
        </w:rPr>
        <w:t>but with temporar</w:t>
      </w:r>
      <w:r w:rsidR="002C46DC">
        <w:rPr>
          <w:rFonts w:ascii="Times New Roman" w:hAnsi="Times New Roman" w:cs="Times New Roman"/>
          <w:sz w:val="24"/>
          <w:szCs w:val="24"/>
          <w:lang w:val="en-US"/>
        </w:rPr>
        <w:t xml:space="preserve">y </w:t>
      </w:r>
      <w:r w:rsidR="0084271A">
        <w:rPr>
          <w:rFonts w:ascii="Times New Roman" w:hAnsi="Times New Roman" w:cs="Times New Roman"/>
          <w:sz w:val="24"/>
          <w:szCs w:val="24"/>
          <w:lang w:val="en-US"/>
        </w:rPr>
        <w:t>reinstatements</w:t>
      </w:r>
      <w:r w:rsidR="00662C8F">
        <w:rPr>
          <w:rFonts w:ascii="Times New Roman" w:hAnsi="Times New Roman" w:cs="Times New Roman"/>
          <w:sz w:val="24"/>
          <w:szCs w:val="24"/>
          <w:lang w:val="en-US"/>
        </w:rPr>
        <w:t xml:space="preserve"> </w:t>
      </w:r>
      <w:r w:rsidR="00E37855">
        <w:rPr>
          <w:rFonts w:ascii="Times New Roman" w:hAnsi="Times New Roman" w:cs="Times New Roman"/>
          <w:sz w:val="24"/>
          <w:szCs w:val="24"/>
          <w:lang w:val="en-US"/>
        </w:rPr>
        <w:t xml:space="preserve">in </w:t>
      </w:r>
      <w:r w:rsidR="0084271A">
        <w:rPr>
          <w:rFonts w:ascii="Times New Roman" w:hAnsi="Times New Roman" w:cs="Times New Roman"/>
          <w:sz w:val="24"/>
          <w:szCs w:val="24"/>
          <w:lang w:val="en-US"/>
        </w:rPr>
        <w:t xml:space="preserve">different </w:t>
      </w:r>
      <w:r w:rsidR="00E37855">
        <w:rPr>
          <w:rFonts w:ascii="Times New Roman" w:hAnsi="Times New Roman" w:cs="Times New Roman"/>
          <w:sz w:val="24"/>
          <w:szCs w:val="24"/>
          <w:lang w:val="en-US"/>
        </w:rPr>
        <w:t>parts of the country</w:t>
      </w:r>
      <w:r>
        <w:rPr>
          <w:rFonts w:ascii="Times New Roman" w:hAnsi="Times New Roman" w:cs="Times New Roman"/>
          <w:sz w:val="24"/>
          <w:szCs w:val="24"/>
          <w:lang w:val="en-US"/>
        </w:rPr>
        <w:t xml:space="preserve">.  </w:t>
      </w:r>
      <w:r w:rsidR="007F12EB">
        <w:rPr>
          <w:rFonts w:ascii="Times New Roman" w:hAnsi="Times New Roman" w:cs="Times New Roman"/>
          <w:sz w:val="24"/>
          <w:szCs w:val="24"/>
          <w:lang w:val="en-US"/>
        </w:rPr>
        <w:t xml:space="preserve">This paper </w:t>
      </w:r>
      <w:r w:rsidR="00E37855">
        <w:rPr>
          <w:rFonts w:ascii="Times New Roman" w:hAnsi="Times New Roman" w:cs="Times New Roman"/>
          <w:sz w:val="24"/>
          <w:szCs w:val="24"/>
          <w:lang w:val="en-US"/>
        </w:rPr>
        <w:t xml:space="preserve">attempts to </w:t>
      </w:r>
      <w:r w:rsidR="00066826">
        <w:rPr>
          <w:rFonts w:ascii="Times New Roman" w:hAnsi="Times New Roman" w:cs="Times New Roman"/>
          <w:sz w:val="24"/>
          <w:szCs w:val="24"/>
          <w:lang w:val="en-US"/>
        </w:rPr>
        <w:t xml:space="preserve">assess the </w:t>
      </w:r>
      <w:r w:rsidR="00570669">
        <w:rPr>
          <w:rFonts w:ascii="Times New Roman" w:hAnsi="Times New Roman" w:cs="Times New Roman"/>
          <w:sz w:val="24"/>
          <w:szCs w:val="24"/>
          <w:lang w:val="en-US"/>
        </w:rPr>
        <w:t xml:space="preserve">comparative merits of this lockdown strategy and a </w:t>
      </w:r>
      <w:r w:rsidR="00E37855">
        <w:rPr>
          <w:rFonts w:ascii="Times New Roman" w:hAnsi="Times New Roman" w:cs="Times New Roman"/>
          <w:sz w:val="24"/>
          <w:szCs w:val="24"/>
          <w:lang w:val="en-US"/>
        </w:rPr>
        <w:t xml:space="preserve">milder mitigation strategy </w:t>
      </w:r>
      <w:r w:rsidR="00EE55FD">
        <w:rPr>
          <w:rFonts w:ascii="Times New Roman" w:hAnsi="Times New Roman" w:cs="Times New Roman"/>
          <w:sz w:val="24"/>
          <w:szCs w:val="24"/>
          <w:lang w:val="en-US"/>
        </w:rPr>
        <w:t>across the country</w:t>
      </w:r>
      <w:r w:rsidR="00EE6D6C">
        <w:rPr>
          <w:rFonts w:ascii="Times New Roman" w:hAnsi="Times New Roman" w:cs="Times New Roman"/>
          <w:sz w:val="24"/>
          <w:szCs w:val="24"/>
          <w:lang w:val="en-US"/>
        </w:rPr>
        <w:t xml:space="preserve"> (</w:t>
      </w:r>
      <w:r w:rsidR="00E37855">
        <w:rPr>
          <w:rFonts w:ascii="Times New Roman" w:hAnsi="Times New Roman" w:cs="Times New Roman"/>
          <w:sz w:val="24"/>
          <w:szCs w:val="24"/>
          <w:lang w:val="en-US"/>
        </w:rPr>
        <w:t xml:space="preserve">involving </w:t>
      </w:r>
      <w:r w:rsidR="00866D35">
        <w:rPr>
          <w:rFonts w:ascii="Times New Roman" w:hAnsi="Times New Roman" w:cs="Times New Roman"/>
          <w:sz w:val="24"/>
          <w:szCs w:val="24"/>
          <w:lang w:val="en-US"/>
        </w:rPr>
        <w:t xml:space="preserve">limiting large gatherings, </w:t>
      </w:r>
      <w:r w:rsidR="00E37855">
        <w:rPr>
          <w:rFonts w:ascii="Times New Roman" w:hAnsi="Times New Roman" w:cs="Times New Roman"/>
          <w:sz w:val="24"/>
          <w:szCs w:val="24"/>
          <w:lang w:val="en-US"/>
        </w:rPr>
        <w:t xml:space="preserve">case isolation, quarantining of members of their households, and social distancing for </w:t>
      </w:r>
      <w:r w:rsidR="00EE55FD">
        <w:rPr>
          <w:rFonts w:ascii="Times New Roman" w:hAnsi="Times New Roman" w:cs="Times New Roman"/>
          <w:sz w:val="24"/>
          <w:szCs w:val="24"/>
          <w:lang w:val="en-US"/>
        </w:rPr>
        <w:t>high-risk groups</w:t>
      </w:r>
      <w:r w:rsidR="00066826">
        <w:rPr>
          <w:rFonts w:ascii="Times New Roman" w:hAnsi="Times New Roman" w:cs="Times New Roman"/>
          <w:sz w:val="24"/>
          <w:szCs w:val="24"/>
          <w:lang w:val="en-US"/>
        </w:rPr>
        <w:t>)</w:t>
      </w:r>
      <w:r w:rsidR="00866D35">
        <w:rPr>
          <w:rFonts w:ascii="Times New Roman" w:hAnsi="Times New Roman" w:cs="Times New Roman"/>
          <w:sz w:val="24"/>
          <w:szCs w:val="24"/>
          <w:lang w:val="en-US"/>
        </w:rPr>
        <w:t xml:space="preserve">.  </w:t>
      </w:r>
      <w:r w:rsidR="00570669">
        <w:rPr>
          <w:rFonts w:ascii="Times New Roman" w:hAnsi="Times New Roman" w:cs="Times New Roman"/>
          <w:sz w:val="24"/>
          <w:szCs w:val="24"/>
          <w:lang w:val="en-US"/>
        </w:rPr>
        <w:t xml:space="preserve">The paper commences by examining this issue using data available as at 30 December 2020.  It then considers the </w:t>
      </w:r>
      <w:r w:rsidR="006F66A0">
        <w:rPr>
          <w:rFonts w:ascii="Times New Roman" w:hAnsi="Times New Roman" w:cs="Times New Roman"/>
          <w:sz w:val="24"/>
          <w:szCs w:val="24"/>
          <w:lang w:val="en-US"/>
        </w:rPr>
        <w:t xml:space="preserve">optimal </w:t>
      </w:r>
      <w:r w:rsidR="00570669">
        <w:rPr>
          <w:rFonts w:ascii="Times New Roman" w:hAnsi="Times New Roman" w:cs="Times New Roman"/>
          <w:sz w:val="24"/>
          <w:szCs w:val="24"/>
          <w:lang w:val="en-US"/>
        </w:rPr>
        <w:t xml:space="preserve">choice based on information available at the time of the initial lockdown decision.  Finally, it considers the </w:t>
      </w:r>
      <w:r w:rsidR="00066826">
        <w:rPr>
          <w:rFonts w:ascii="Times New Roman" w:hAnsi="Times New Roman" w:cs="Times New Roman"/>
          <w:sz w:val="24"/>
          <w:szCs w:val="24"/>
          <w:lang w:val="en-US"/>
        </w:rPr>
        <w:t xml:space="preserve">optimal course of action </w:t>
      </w:r>
      <w:r w:rsidR="009164F9">
        <w:rPr>
          <w:rFonts w:ascii="Times New Roman" w:hAnsi="Times New Roman" w:cs="Times New Roman"/>
          <w:sz w:val="24"/>
          <w:szCs w:val="24"/>
          <w:lang w:val="en-US"/>
        </w:rPr>
        <w:t xml:space="preserve">if a </w:t>
      </w:r>
      <w:r w:rsidR="00066826">
        <w:rPr>
          <w:rFonts w:ascii="Times New Roman" w:hAnsi="Times New Roman" w:cs="Times New Roman"/>
          <w:sz w:val="24"/>
          <w:szCs w:val="24"/>
          <w:lang w:val="en-US"/>
        </w:rPr>
        <w:t>new outbreak occur</w:t>
      </w:r>
      <w:r w:rsidR="009164F9">
        <w:rPr>
          <w:rFonts w:ascii="Times New Roman" w:hAnsi="Times New Roman" w:cs="Times New Roman"/>
          <w:sz w:val="24"/>
          <w:szCs w:val="24"/>
          <w:lang w:val="en-US"/>
        </w:rPr>
        <w:t>s</w:t>
      </w:r>
      <w:r w:rsidR="00066826">
        <w:rPr>
          <w:rFonts w:ascii="Times New Roman" w:hAnsi="Times New Roman" w:cs="Times New Roman"/>
          <w:sz w:val="24"/>
          <w:szCs w:val="24"/>
          <w:lang w:val="en-US"/>
        </w:rPr>
        <w:t xml:space="preserve"> that cannot be contained without resort to lockdowns.</w:t>
      </w:r>
    </w:p>
    <w:p w14:paraId="25E0AD88" w14:textId="77777777" w:rsidR="00866D35" w:rsidRDefault="00866D35" w:rsidP="007C109B">
      <w:pPr>
        <w:spacing w:after="0" w:line="360" w:lineRule="auto"/>
        <w:jc w:val="both"/>
        <w:rPr>
          <w:rFonts w:ascii="Times New Roman" w:hAnsi="Times New Roman" w:cs="Times New Roman"/>
          <w:sz w:val="24"/>
          <w:szCs w:val="24"/>
          <w:lang w:val="en-US"/>
        </w:rPr>
      </w:pPr>
    </w:p>
    <w:p w14:paraId="376E020A" w14:textId="77777777" w:rsidR="003626D7" w:rsidRPr="003626D7" w:rsidRDefault="00DC0BF8" w:rsidP="003626D7">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B2AB9">
        <w:rPr>
          <w:rFonts w:ascii="Times New Roman" w:hAnsi="Times New Roman" w:cs="Times New Roman"/>
          <w:b/>
          <w:sz w:val="24"/>
          <w:szCs w:val="24"/>
          <w:lang w:val="en-US"/>
        </w:rPr>
        <w:t xml:space="preserve">The </w:t>
      </w:r>
      <w:r w:rsidR="00260E70">
        <w:rPr>
          <w:rFonts w:ascii="Times New Roman" w:hAnsi="Times New Roman" w:cs="Times New Roman"/>
          <w:b/>
          <w:sz w:val="24"/>
          <w:szCs w:val="24"/>
          <w:lang w:val="en-US"/>
        </w:rPr>
        <w:t xml:space="preserve">Costs and Benefits of </w:t>
      </w:r>
      <w:r w:rsidR="003B2AB9">
        <w:rPr>
          <w:rFonts w:ascii="Times New Roman" w:hAnsi="Times New Roman" w:cs="Times New Roman"/>
          <w:b/>
          <w:sz w:val="24"/>
          <w:szCs w:val="24"/>
          <w:lang w:val="en-US"/>
        </w:rPr>
        <w:t xml:space="preserve">Lockdowns in </w:t>
      </w:r>
      <w:r w:rsidR="00866D35">
        <w:rPr>
          <w:rFonts w:ascii="Times New Roman" w:hAnsi="Times New Roman" w:cs="Times New Roman"/>
          <w:b/>
          <w:sz w:val="24"/>
          <w:szCs w:val="24"/>
          <w:lang w:val="en-US"/>
        </w:rPr>
        <w:t>March</w:t>
      </w:r>
      <w:r w:rsidR="004B194B">
        <w:rPr>
          <w:rFonts w:ascii="Times New Roman" w:hAnsi="Times New Roman" w:cs="Times New Roman"/>
          <w:b/>
          <w:sz w:val="24"/>
          <w:szCs w:val="24"/>
          <w:lang w:val="en-US"/>
        </w:rPr>
        <w:t xml:space="preserve"> 2020</w:t>
      </w:r>
    </w:p>
    <w:p w14:paraId="125105FD" w14:textId="77777777" w:rsidR="00866D35" w:rsidRPr="00FE5A0F" w:rsidRDefault="003A5E1B" w:rsidP="007C109B">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2.1 </w:t>
      </w:r>
      <w:r w:rsidR="00FE5A0F">
        <w:rPr>
          <w:rFonts w:ascii="Times New Roman" w:hAnsi="Times New Roman" w:cs="Times New Roman"/>
          <w:i/>
          <w:sz w:val="24"/>
          <w:szCs w:val="24"/>
          <w:lang w:val="en-US"/>
        </w:rPr>
        <w:t>Deaths</w:t>
      </w:r>
    </w:p>
    <w:p w14:paraId="495F71E8" w14:textId="77777777" w:rsidR="00C177E2" w:rsidRDefault="00960376"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purpose of lockdowns is to reduce deaths, and the de</w:t>
      </w:r>
      <w:r w:rsidR="00882288">
        <w:rPr>
          <w:rFonts w:ascii="Times New Roman" w:hAnsi="Times New Roman" w:cs="Times New Roman"/>
          <w:sz w:val="24"/>
          <w:szCs w:val="24"/>
          <w:lang w:val="en-US"/>
        </w:rPr>
        <w:t>aths suf</w:t>
      </w:r>
      <w:r>
        <w:rPr>
          <w:rFonts w:ascii="Times New Roman" w:hAnsi="Times New Roman" w:cs="Times New Roman"/>
          <w:sz w:val="24"/>
          <w:szCs w:val="24"/>
          <w:lang w:val="en-US"/>
        </w:rPr>
        <w:t>fered under the lockdown policy are known</w:t>
      </w:r>
      <w:r w:rsidR="00882288">
        <w:rPr>
          <w:rFonts w:ascii="Times New Roman" w:hAnsi="Times New Roman" w:cs="Times New Roman"/>
          <w:sz w:val="24"/>
          <w:szCs w:val="24"/>
          <w:lang w:val="en-US"/>
        </w:rPr>
        <w:t xml:space="preserve">.  Much less clear is what the death toll would have been under a mitigation policy.  </w:t>
      </w:r>
      <w:r w:rsidR="002C38A2">
        <w:rPr>
          <w:rFonts w:ascii="Times New Roman" w:hAnsi="Times New Roman" w:cs="Times New Roman"/>
          <w:sz w:val="24"/>
          <w:szCs w:val="24"/>
          <w:lang w:val="en-US"/>
        </w:rPr>
        <w:t xml:space="preserve">In </w:t>
      </w:r>
      <w:proofErr w:type="spellStart"/>
      <w:r w:rsidR="002C38A2">
        <w:rPr>
          <w:rFonts w:ascii="Times New Roman" w:hAnsi="Times New Roman" w:cs="Times New Roman"/>
          <w:sz w:val="24"/>
          <w:szCs w:val="24"/>
          <w:lang w:val="en-US"/>
        </w:rPr>
        <w:t>mid March</w:t>
      </w:r>
      <w:proofErr w:type="spellEnd"/>
      <w:r w:rsidR="002C38A2">
        <w:rPr>
          <w:rFonts w:ascii="Times New Roman" w:hAnsi="Times New Roman" w:cs="Times New Roman"/>
          <w:sz w:val="24"/>
          <w:szCs w:val="24"/>
          <w:lang w:val="en-US"/>
        </w:rPr>
        <w:t xml:space="preserve"> the Australian government </w:t>
      </w:r>
      <w:r w:rsidR="00E82320">
        <w:rPr>
          <w:rFonts w:ascii="Times New Roman" w:hAnsi="Times New Roman" w:cs="Times New Roman"/>
          <w:sz w:val="24"/>
          <w:szCs w:val="24"/>
          <w:lang w:val="en-US"/>
        </w:rPr>
        <w:t xml:space="preserve">estimated </w:t>
      </w:r>
      <w:r w:rsidR="00D975DB">
        <w:rPr>
          <w:rFonts w:ascii="Times New Roman" w:hAnsi="Times New Roman" w:cs="Times New Roman"/>
          <w:sz w:val="24"/>
          <w:szCs w:val="24"/>
          <w:lang w:val="en-US"/>
        </w:rPr>
        <w:t>that</w:t>
      </w:r>
      <w:r w:rsidR="002C38A2">
        <w:rPr>
          <w:rFonts w:ascii="Times New Roman" w:hAnsi="Times New Roman" w:cs="Times New Roman"/>
          <w:sz w:val="24"/>
          <w:szCs w:val="24"/>
          <w:lang w:val="en-US"/>
        </w:rPr>
        <w:t>, without lockdown</w:t>
      </w:r>
      <w:r w:rsidR="00D975DB">
        <w:rPr>
          <w:rFonts w:ascii="Times New Roman" w:hAnsi="Times New Roman" w:cs="Times New Roman"/>
          <w:sz w:val="24"/>
          <w:szCs w:val="24"/>
          <w:lang w:val="en-US"/>
        </w:rPr>
        <w:t>s</w:t>
      </w:r>
      <w:r w:rsidR="002C38A2">
        <w:rPr>
          <w:rFonts w:ascii="Times New Roman" w:hAnsi="Times New Roman" w:cs="Times New Roman"/>
          <w:sz w:val="24"/>
          <w:szCs w:val="24"/>
          <w:lang w:val="en-US"/>
        </w:rPr>
        <w:t xml:space="preserve">, </w:t>
      </w:r>
      <w:r w:rsidR="00D975DB">
        <w:rPr>
          <w:rFonts w:ascii="Times New Roman" w:hAnsi="Times New Roman" w:cs="Times New Roman"/>
          <w:sz w:val="24"/>
          <w:szCs w:val="24"/>
          <w:lang w:val="en-US"/>
        </w:rPr>
        <w:t xml:space="preserve">up to </w:t>
      </w:r>
      <w:r w:rsidR="002C38A2">
        <w:rPr>
          <w:rFonts w:ascii="Times New Roman" w:hAnsi="Times New Roman" w:cs="Times New Roman"/>
          <w:sz w:val="24"/>
          <w:szCs w:val="24"/>
          <w:lang w:val="en-US"/>
        </w:rPr>
        <w:t xml:space="preserve">60% of the population would be infected and 1% of these would die, </w:t>
      </w:r>
      <w:r w:rsidR="00D975DB">
        <w:rPr>
          <w:rFonts w:ascii="Times New Roman" w:hAnsi="Times New Roman" w:cs="Times New Roman"/>
          <w:sz w:val="24"/>
          <w:szCs w:val="24"/>
          <w:lang w:val="en-US"/>
        </w:rPr>
        <w:t xml:space="preserve">leading to up to </w:t>
      </w:r>
      <w:r w:rsidR="002C38A2">
        <w:rPr>
          <w:rFonts w:ascii="Times New Roman" w:hAnsi="Times New Roman" w:cs="Times New Roman"/>
          <w:sz w:val="24"/>
          <w:szCs w:val="24"/>
          <w:lang w:val="en-US"/>
        </w:rPr>
        <w:t>150,000 deaths.</w:t>
      </w:r>
      <w:r w:rsidR="002C38A2">
        <w:rPr>
          <w:rStyle w:val="FootnoteReference"/>
          <w:rFonts w:ascii="Times New Roman" w:hAnsi="Times New Roman" w:cs="Times New Roman"/>
          <w:sz w:val="24"/>
          <w:szCs w:val="24"/>
          <w:lang w:val="en-US"/>
        </w:rPr>
        <w:footnoteReference w:id="1"/>
      </w:r>
      <w:r w:rsidR="002C38A2">
        <w:rPr>
          <w:rFonts w:ascii="Times New Roman" w:hAnsi="Times New Roman" w:cs="Times New Roman"/>
          <w:sz w:val="24"/>
          <w:szCs w:val="24"/>
          <w:lang w:val="en-US"/>
        </w:rPr>
        <w:t xml:space="preserve">  </w:t>
      </w:r>
      <w:r w:rsidR="00D975DB">
        <w:rPr>
          <w:rFonts w:ascii="Times New Roman" w:hAnsi="Times New Roman" w:cs="Times New Roman"/>
          <w:sz w:val="24"/>
          <w:szCs w:val="24"/>
          <w:lang w:val="en-US"/>
        </w:rPr>
        <w:t xml:space="preserve">Shortly afterwards, </w:t>
      </w:r>
      <w:r w:rsidR="00D02A1E">
        <w:rPr>
          <w:rFonts w:ascii="Times New Roman" w:hAnsi="Times New Roman" w:cs="Times New Roman"/>
          <w:sz w:val="24"/>
          <w:szCs w:val="24"/>
          <w:lang w:val="en-US"/>
        </w:rPr>
        <w:t xml:space="preserve">in </w:t>
      </w:r>
      <w:r w:rsidR="00D975DB">
        <w:rPr>
          <w:rFonts w:ascii="Times New Roman" w:hAnsi="Times New Roman" w:cs="Times New Roman"/>
          <w:sz w:val="24"/>
          <w:szCs w:val="24"/>
          <w:lang w:val="en-US"/>
        </w:rPr>
        <w:t xml:space="preserve">late </w:t>
      </w:r>
      <w:r w:rsidR="00D02A1E">
        <w:rPr>
          <w:rFonts w:ascii="Times New Roman" w:hAnsi="Times New Roman" w:cs="Times New Roman"/>
          <w:sz w:val="24"/>
          <w:szCs w:val="24"/>
          <w:lang w:val="en-US"/>
        </w:rPr>
        <w:t>March 2020</w:t>
      </w:r>
      <w:r w:rsidR="00866D35">
        <w:rPr>
          <w:rFonts w:ascii="Times New Roman" w:hAnsi="Times New Roman" w:cs="Times New Roman"/>
          <w:sz w:val="24"/>
          <w:szCs w:val="24"/>
          <w:lang w:val="en-US"/>
        </w:rPr>
        <w:t xml:space="preserve">, Blakely and Wilson </w:t>
      </w:r>
      <w:r w:rsidR="00E40CED">
        <w:rPr>
          <w:rFonts w:ascii="Times New Roman" w:hAnsi="Times New Roman" w:cs="Times New Roman"/>
          <w:sz w:val="24"/>
          <w:szCs w:val="24"/>
          <w:lang w:val="en-US"/>
        </w:rPr>
        <w:t xml:space="preserve">(2020) </w:t>
      </w:r>
      <w:r w:rsidR="00E82320">
        <w:rPr>
          <w:rFonts w:ascii="Times New Roman" w:hAnsi="Times New Roman" w:cs="Times New Roman"/>
          <w:sz w:val="24"/>
          <w:szCs w:val="24"/>
          <w:lang w:val="en-US"/>
        </w:rPr>
        <w:t xml:space="preserve">estimated </w:t>
      </w:r>
      <w:r w:rsidR="00EC50C2">
        <w:rPr>
          <w:rFonts w:ascii="Times New Roman" w:hAnsi="Times New Roman" w:cs="Times New Roman"/>
          <w:sz w:val="24"/>
          <w:szCs w:val="24"/>
          <w:lang w:val="en-US"/>
        </w:rPr>
        <w:t>deaths from an</w:t>
      </w:r>
      <w:r w:rsidR="00866D35">
        <w:rPr>
          <w:rFonts w:ascii="Times New Roman" w:hAnsi="Times New Roman" w:cs="Times New Roman"/>
          <w:sz w:val="24"/>
          <w:szCs w:val="24"/>
          <w:lang w:val="en-US"/>
        </w:rPr>
        <w:t xml:space="preserve"> </w:t>
      </w:r>
      <w:r w:rsidR="00EC50C2">
        <w:rPr>
          <w:rFonts w:ascii="Times New Roman" w:hAnsi="Times New Roman" w:cs="Times New Roman"/>
          <w:sz w:val="24"/>
          <w:szCs w:val="24"/>
          <w:lang w:val="en-US"/>
        </w:rPr>
        <w:t xml:space="preserve">eradication </w:t>
      </w:r>
      <w:r w:rsidR="00EB3217">
        <w:rPr>
          <w:rFonts w:ascii="Times New Roman" w:hAnsi="Times New Roman" w:cs="Times New Roman"/>
          <w:sz w:val="24"/>
          <w:szCs w:val="24"/>
          <w:lang w:val="en-US"/>
        </w:rPr>
        <w:t xml:space="preserve">(lockdown) </w:t>
      </w:r>
      <w:r w:rsidR="00EC50C2">
        <w:rPr>
          <w:rFonts w:ascii="Times New Roman" w:hAnsi="Times New Roman" w:cs="Times New Roman"/>
          <w:sz w:val="24"/>
          <w:szCs w:val="24"/>
          <w:lang w:val="en-US"/>
        </w:rPr>
        <w:t xml:space="preserve">policy at 5,000, those from a </w:t>
      </w:r>
      <w:r w:rsidR="00866D35">
        <w:rPr>
          <w:rFonts w:ascii="Times New Roman" w:hAnsi="Times New Roman" w:cs="Times New Roman"/>
          <w:sz w:val="24"/>
          <w:szCs w:val="24"/>
          <w:lang w:val="en-US"/>
        </w:rPr>
        <w:t xml:space="preserve">mitigation strategy at </w:t>
      </w:r>
      <w:r w:rsidR="00C91379">
        <w:rPr>
          <w:rFonts w:ascii="Times New Roman" w:hAnsi="Times New Roman" w:cs="Times New Roman"/>
          <w:sz w:val="24"/>
          <w:szCs w:val="24"/>
          <w:lang w:val="en-US"/>
        </w:rPr>
        <w:t xml:space="preserve">25,000 – 55,000, </w:t>
      </w:r>
      <w:r w:rsidR="00EB3217">
        <w:rPr>
          <w:rFonts w:ascii="Times New Roman" w:hAnsi="Times New Roman" w:cs="Times New Roman"/>
          <w:sz w:val="24"/>
          <w:szCs w:val="24"/>
          <w:lang w:val="en-US"/>
        </w:rPr>
        <w:t xml:space="preserve">and a worst-case </w:t>
      </w:r>
      <w:r w:rsidR="00501D4A">
        <w:rPr>
          <w:rFonts w:ascii="Times New Roman" w:hAnsi="Times New Roman" w:cs="Times New Roman"/>
          <w:sz w:val="24"/>
          <w:szCs w:val="24"/>
          <w:lang w:val="en-US"/>
        </w:rPr>
        <w:t xml:space="preserve">scenario </w:t>
      </w:r>
      <w:r w:rsidR="00EB3217">
        <w:rPr>
          <w:rFonts w:ascii="Times New Roman" w:hAnsi="Times New Roman" w:cs="Times New Roman"/>
          <w:sz w:val="24"/>
          <w:szCs w:val="24"/>
          <w:lang w:val="en-US"/>
        </w:rPr>
        <w:t xml:space="preserve">of </w:t>
      </w:r>
      <w:r w:rsidR="00C91379">
        <w:rPr>
          <w:rFonts w:ascii="Times New Roman" w:hAnsi="Times New Roman" w:cs="Times New Roman"/>
          <w:sz w:val="24"/>
          <w:szCs w:val="24"/>
          <w:lang w:val="en-US"/>
        </w:rPr>
        <w:t>134,000</w:t>
      </w:r>
      <w:r w:rsidR="00E40CED">
        <w:rPr>
          <w:rFonts w:ascii="Times New Roman" w:hAnsi="Times New Roman" w:cs="Times New Roman"/>
          <w:sz w:val="24"/>
          <w:szCs w:val="24"/>
          <w:lang w:val="en-US"/>
        </w:rPr>
        <w:t xml:space="preserve"> arising from </w:t>
      </w:r>
      <w:r w:rsidR="003A5E1B">
        <w:rPr>
          <w:rFonts w:ascii="Times New Roman" w:hAnsi="Times New Roman" w:cs="Times New Roman"/>
          <w:sz w:val="24"/>
          <w:szCs w:val="24"/>
          <w:lang w:val="en-US"/>
        </w:rPr>
        <w:t xml:space="preserve">no mitigation measures and </w:t>
      </w:r>
      <w:r w:rsidR="00E40CED">
        <w:rPr>
          <w:rFonts w:ascii="Times New Roman" w:hAnsi="Times New Roman" w:cs="Times New Roman"/>
          <w:sz w:val="24"/>
          <w:szCs w:val="24"/>
          <w:lang w:val="en-US"/>
        </w:rPr>
        <w:t xml:space="preserve">60% of the population </w:t>
      </w:r>
      <w:r w:rsidR="00A43736">
        <w:rPr>
          <w:rFonts w:ascii="Times New Roman" w:hAnsi="Times New Roman" w:cs="Times New Roman"/>
          <w:sz w:val="24"/>
          <w:szCs w:val="24"/>
          <w:lang w:val="en-US"/>
        </w:rPr>
        <w:t xml:space="preserve">then </w:t>
      </w:r>
      <w:r w:rsidR="00E40CED">
        <w:rPr>
          <w:rFonts w:ascii="Times New Roman" w:hAnsi="Times New Roman" w:cs="Times New Roman"/>
          <w:sz w:val="24"/>
          <w:szCs w:val="24"/>
          <w:lang w:val="en-US"/>
        </w:rPr>
        <w:t xml:space="preserve">being infected.  </w:t>
      </w:r>
      <w:r w:rsidR="001525EF">
        <w:rPr>
          <w:rFonts w:ascii="Times New Roman" w:hAnsi="Times New Roman" w:cs="Times New Roman"/>
          <w:sz w:val="24"/>
          <w:szCs w:val="24"/>
          <w:lang w:val="en-US"/>
        </w:rPr>
        <w:t xml:space="preserve">Subsequent </w:t>
      </w:r>
      <w:r w:rsidR="00E82320">
        <w:rPr>
          <w:rFonts w:ascii="Times New Roman" w:hAnsi="Times New Roman" w:cs="Times New Roman"/>
          <w:sz w:val="24"/>
          <w:szCs w:val="24"/>
          <w:lang w:val="en-US"/>
        </w:rPr>
        <w:t xml:space="preserve">estimates </w:t>
      </w:r>
      <w:r w:rsidR="001525EF">
        <w:rPr>
          <w:rFonts w:ascii="Times New Roman" w:hAnsi="Times New Roman" w:cs="Times New Roman"/>
          <w:sz w:val="24"/>
          <w:szCs w:val="24"/>
          <w:lang w:val="en-US"/>
        </w:rPr>
        <w:t xml:space="preserve">by Bailey and West, drawing upon analysis by Moss et al (2020) using data to 31 March, involved </w:t>
      </w:r>
      <w:r w:rsidR="00C07D41">
        <w:rPr>
          <w:rFonts w:ascii="Times New Roman" w:hAnsi="Times New Roman" w:cs="Times New Roman"/>
          <w:sz w:val="24"/>
          <w:szCs w:val="24"/>
          <w:lang w:val="en-US"/>
        </w:rPr>
        <w:t xml:space="preserve">27,000 </w:t>
      </w:r>
      <w:r w:rsidR="00EB3217">
        <w:rPr>
          <w:rFonts w:ascii="Times New Roman" w:hAnsi="Times New Roman" w:cs="Times New Roman"/>
          <w:sz w:val="24"/>
          <w:szCs w:val="24"/>
          <w:lang w:val="en-US"/>
        </w:rPr>
        <w:t xml:space="preserve">deaths </w:t>
      </w:r>
      <w:r w:rsidR="00C07D41">
        <w:rPr>
          <w:rFonts w:ascii="Times New Roman" w:hAnsi="Times New Roman" w:cs="Times New Roman"/>
          <w:sz w:val="24"/>
          <w:szCs w:val="24"/>
          <w:lang w:val="en-US"/>
        </w:rPr>
        <w:t xml:space="preserve">under </w:t>
      </w:r>
      <w:r w:rsidR="008D2026">
        <w:rPr>
          <w:rFonts w:ascii="Times New Roman" w:hAnsi="Times New Roman" w:cs="Times New Roman"/>
          <w:sz w:val="24"/>
          <w:szCs w:val="24"/>
          <w:lang w:val="en-US"/>
        </w:rPr>
        <w:t>eradication (</w:t>
      </w:r>
      <w:r w:rsidR="00C07D41">
        <w:rPr>
          <w:rFonts w:ascii="Times New Roman" w:hAnsi="Times New Roman" w:cs="Times New Roman"/>
          <w:sz w:val="24"/>
          <w:szCs w:val="24"/>
          <w:lang w:val="en-US"/>
        </w:rPr>
        <w:t>lockdown</w:t>
      </w:r>
      <w:r w:rsidR="008D2026">
        <w:rPr>
          <w:rFonts w:ascii="Times New Roman" w:hAnsi="Times New Roman" w:cs="Times New Roman"/>
          <w:sz w:val="24"/>
          <w:szCs w:val="24"/>
          <w:lang w:val="en-US"/>
        </w:rPr>
        <w:t>)</w:t>
      </w:r>
      <w:r w:rsidR="00C07D41">
        <w:rPr>
          <w:rFonts w:ascii="Times New Roman" w:hAnsi="Times New Roman" w:cs="Times New Roman"/>
          <w:sz w:val="24"/>
          <w:szCs w:val="24"/>
          <w:lang w:val="en-US"/>
        </w:rPr>
        <w:t xml:space="preserve">, </w:t>
      </w:r>
      <w:r w:rsidR="007D09CC">
        <w:rPr>
          <w:rFonts w:ascii="Times New Roman" w:hAnsi="Times New Roman" w:cs="Times New Roman"/>
          <w:sz w:val="24"/>
          <w:szCs w:val="24"/>
          <w:lang w:val="en-US"/>
        </w:rPr>
        <w:t>141,000 deaths under mitigation</w:t>
      </w:r>
      <w:r w:rsidR="00C07D41">
        <w:rPr>
          <w:rFonts w:ascii="Times New Roman" w:hAnsi="Times New Roman" w:cs="Times New Roman"/>
          <w:sz w:val="24"/>
          <w:szCs w:val="24"/>
          <w:lang w:val="en-US"/>
        </w:rPr>
        <w:t>,</w:t>
      </w:r>
      <w:r w:rsidR="007D09CC">
        <w:rPr>
          <w:rFonts w:ascii="Times New Roman" w:hAnsi="Times New Roman" w:cs="Times New Roman"/>
          <w:sz w:val="24"/>
          <w:szCs w:val="24"/>
          <w:lang w:val="en-US"/>
        </w:rPr>
        <w:t xml:space="preserve"> and </w:t>
      </w:r>
      <w:r w:rsidR="004B194B">
        <w:rPr>
          <w:rFonts w:ascii="Times New Roman" w:hAnsi="Times New Roman" w:cs="Times New Roman"/>
          <w:sz w:val="24"/>
          <w:szCs w:val="24"/>
          <w:lang w:val="en-US"/>
        </w:rPr>
        <w:t>287,000 deaths</w:t>
      </w:r>
      <w:r w:rsidR="007D09CC">
        <w:rPr>
          <w:rFonts w:ascii="Times New Roman" w:hAnsi="Times New Roman" w:cs="Times New Roman"/>
          <w:sz w:val="24"/>
          <w:szCs w:val="24"/>
          <w:lang w:val="en-US"/>
        </w:rPr>
        <w:t xml:space="preserve"> with no mitigating actions</w:t>
      </w:r>
      <w:r w:rsidR="004B194B">
        <w:rPr>
          <w:rFonts w:ascii="Times New Roman" w:hAnsi="Times New Roman" w:cs="Times New Roman"/>
          <w:sz w:val="24"/>
          <w:szCs w:val="24"/>
          <w:lang w:val="en-US"/>
        </w:rPr>
        <w:t xml:space="preserve">.  </w:t>
      </w:r>
      <w:r w:rsidR="00BB7117">
        <w:rPr>
          <w:rFonts w:ascii="Times New Roman" w:hAnsi="Times New Roman" w:cs="Times New Roman"/>
          <w:sz w:val="24"/>
          <w:szCs w:val="24"/>
          <w:lang w:val="en-US"/>
        </w:rPr>
        <w:t xml:space="preserve">Subsequent </w:t>
      </w:r>
      <w:r w:rsidR="00E82320">
        <w:rPr>
          <w:rFonts w:ascii="Times New Roman" w:hAnsi="Times New Roman" w:cs="Times New Roman"/>
          <w:sz w:val="24"/>
          <w:szCs w:val="24"/>
          <w:lang w:val="en-US"/>
        </w:rPr>
        <w:t xml:space="preserve">estimates </w:t>
      </w:r>
      <w:r w:rsidR="00D975DB">
        <w:rPr>
          <w:rFonts w:ascii="Times New Roman" w:hAnsi="Times New Roman" w:cs="Times New Roman"/>
          <w:sz w:val="24"/>
          <w:szCs w:val="24"/>
          <w:lang w:val="en-US"/>
        </w:rPr>
        <w:t xml:space="preserve">by </w:t>
      </w:r>
      <w:r w:rsidR="00BB7117">
        <w:rPr>
          <w:rFonts w:ascii="Times New Roman" w:hAnsi="Times New Roman" w:cs="Times New Roman"/>
          <w:sz w:val="24"/>
          <w:szCs w:val="24"/>
          <w:lang w:val="en-US"/>
        </w:rPr>
        <w:t xml:space="preserve">Holden and Prescott (2020) </w:t>
      </w:r>
      <w:r w:rsidR="00D975DB">
        <w:rPr>
          <w:rFonts w:ascii="Times New Roman" w:hAnsi="Times New Roman" w:cs="Times New Roman"/>
          <w:sz w:val="24"/>
          <w:szCs w:val="24"/>
          <w:lang w:val="en-US"/>
        </w:rPr>
        <w:t xml:space="preserve">involved </w:t>
      </w:r>
      <w:r w:rsidR="00BB7117">
        <w:rPr>
          <w:rFonts w:ascii="Times New Roman" w:hAnsi="Times New Roman" w:cs="Times New Roman"/>
          <w:sz w:val="24"/>
          <w:szCs w:val="24"/>
          <w:lang w:val="en-US"/>
        </w:rPr>
        <w:t xml:space="preserve">90% of the population </w:t>
      </w:r>
      <w:r w:rsidR="00D975DB">
        <w:rPr>
          <w:rFonts w:ascii="Times New Roman" w:hAnsi="Times New Roman" w:cs="Times New Roman"/>
          <w:sz w:val="24"/>
          <w:szCs w:val="24"/>
          <w:lang w:val="en-US"/>
        </w:rPr>
        <w:t xml:space="preserve">being </w:t>
      </w:r>
      <w:r w:rsidR="00BB7117">
        <w:rPr>
          <w:rFonts w:ascii="Times New Roman" w:hAnsi="Times New Roman" w:cs="Times New Roman"/>
          <w:sz w:val="24"/>
          <w:szCs w:val="24"/>
          <w:lang w:val="en-US"/>
        </w:rPr>
        <w:t xml:space="preserve">infected, and 1% of these would die, yielding </w:t>
      </w:r>
      <w:r w:rsidR="00D975DB">
        <w:rPr>
          <w:rFonts w:ascii="Times New Roman" w:hAnsi="Times New Roman" w:cs="Times New Roman"/>
          <w:sz w:val="24"/>
          <w:szCs w:val="24"/>
          <w:lang w:val="en-US"/>
        </w:rPr>
        <w:t>225,000 deaths</w:t>
      </w:r>
      <w:r w:rsidR="00BB7117">
        <w:rPr>
          <w:rFonts w:ascii="Times New Roman" w:hAnsi="Times New Roman" w:cs="Times New Roman"/>
          <w:sz w:val="24"/>
          <w:szCs w:val="24"/>
          <w:lang w:val="en-US"/>
        </w:rPr>
        <w:t xml:space="preserve">.  </w:t>
      </w:r>
      <w:r w:rsidR="001525EF">
        <w:rPr>
          <w:rFonts w:ascii="Times New Roman" w:hAnsi="Times New Roman" w:cs="Times New Roman"/>
          <w:sz w:val="24"/>
          <w:szCs w:val="24"/>
          <w:lang w:val="en-US"/>
        </w:rPr>
        <w:t xml:space="preserve">Subsequent estimates by </w:t>
      </w:r>
      <w:proofErr w:type="spellStart"/>
      <w:r w:rsidR="001525EF">
        <w:rPr>
          <w:rFonts w:ascii="Times New Roman" w:hAnsi="Times New Roman" w:cs="Times New Roman"/>
          <w:sz w:val="24"/>
          <w:szCs w:val="24"/>
          <w:lang w:val="en-US"/>
        </w:rPr>
        <w:t>Kompas</w:t>
      </w:r>
      <w:proofErr w:type="spellEnd"/>
      <w:r w:rsidR="001525EF">
        <w:rPr>
          <w:rFonts w:ascii="Times New Roman" w:hAnsi="Times New Roman" w:cs="Times New Roman"/>
          <w:sz w:val="24"/>
          <w:szCs w:val="24"/>
          <w:lang w:val="en-US"/>
        </w:rPr>
        <w:t xml:space="preserve"> et al (2020</w:t>
      </w:r>
      <w:r w:rsidR="00E43879">
        <w:rPr>
          <w:rFonts w:ascii="Times New Roman" w:hAnsi="Times New Roman" w:cs="Times New Roman"/>
          <w:sz w:val="24"/>
          <w:szCs w:val="24"/>
          <w:lang w:val="en-US"/>
        </w:rPr>
        <w:t>, pp. 8-9</w:t>
      </w:r>
      <w:r w:rsidR="001525EF">
        <w:rPr>
          <w:rFonts w:ascii="Times New Roman" w:hAnsi="Times New Roman" w:cs="Times New Roman"/>
          <w:sz w:val="24"/>
          <w:szCs w:val="24"/>
          <w:lang w:val="en-US"/>
        </w:rPr>
        <w:t xml:space="preserve">) using data to 1 June </w:t>
      </w:r>
      <w:r w:rsidR="00910145">
        <w:rPr>
          <w:rFonts w:ascii="Times New Roman" w:hAnsi="Times New Roman" w:cs="Times New Roman"/>
          <w:sz w:val="24"/>
          <w:szCs w:val="24"/>
          <w:lang w:val="en-US"/>
        </w:rPr>
        <w:t xml:space="preserve">involved </w:t>
      </w:r>
      <w:r w:rsidR="001525EF">
        <w:rPr>
          <w:rFonts w:ascii="Times New Roman" w:hAnsi="Times New Roman" w:cs="Times New Roman"/>
          <w:sz w:val="24"/>
          <w:szCs w:val="24"/>
          <w:lang w:val="en-US"/>
        </w:rPr>
        <w:t xml:space="preserve">100 deaths from adoption of the suppression measures actually adopted, 35,000 if implementation had been delayed by 28 days, and 260,000 if no actions were taken by government or individuals.  </w:t>
      </w:r>
      <w:r w:rsidR="009B3E1C">
        <w:rPr>
          <w:rFonts w:ascii="Times New Roman" w:hAnsi="Times New Roman" w:cs="Times New Roman"/>
          <w:sz w:val="24"/>
          <w:szCs w:val="24"/>
          <w:lang w:val="en-US"/>
        </w:rPr>
        <w:t xml:space="preserve">Blakely et </w:t>
      </w:r>
      <w:proofErr w:type="spellStart"/>
      <w:r w:rsidR="009B3E1C">
        <w:rPr>
          <w:rFonts w:ascii="Times New Roman" w:hAnsi="Times New Roman" w:cs="Times New Roman"/>
          <w:sz w:val="24"/>
          <w:szCs w:val="24"/>
          <w:lang w:val="en-US"/>
        </w:rPr>
        <w:t>al’s</w:t>
      </w:r>
      <w:proofErr w:type="spellEnd"/>
      <w:r w:rsidR="009B3E1C">
        <w:rPr>
          <w:rFonts w:ascii="Times New Roman" w:hAnsi="Times New Roman" w:cs="Times New Roman"/>
          <w:sz w:val="24"/>
          <w:szCs w:val="24"/>
          <w:lang w:val="en-US"/>
        </w:rPr>
        <w:t xml:space="preserve"> (2020) estimate</w:t>
      </w:r>
      <w:r w:rsidR="00C91379">
        <w:rPr>
          <w:rFonts w:ascii="Times New Roman" w:hAnsi="Times New Roman" w:cs="Times New Roman"/>
          <w:sz w:val="24"/>
          <w:szCs w:val="24"/>
          <w:lang w:val="en-US"/>
        </w:rPr>
        <w:t xml:space="preserve">s use </w:t>
      </w:r>
      <w:r w:rsidR="009B3E1C">
        <w:rPr>
          <w:rFonts w:ascii="Times New Roman" w:hAnsi="Times New Roman" w:cs="Times New Roman"/>
          <w:sz w:val="24"/>
          <w:szCs w:val="24"/>
          <w:lang w:val="en-US"/>
        </w:rPr>
        <w:t xml:space="preserve">mortality rates by age group from the Ferguson et al </w:t>
      </w:r>
      <w:r w:rsidR="009B3E1C">
        <w:rPr>
          <w:rFonts w:ascii="Times New Roman" w:hAnsi="Times New Roman" w:cs="Times New Roman"/>
          <w:sz w:val="24"/>
          <w:szCs w:val="24"/>
          <w:lang w:val="en-US"/>
        </w:rPr>
        <w:lastRenderedPageBreak/>
        <w:t>(2020) study in the UK</w:t>
      </w:r>
      <w:r w:rsidR="003C291A">
        <w:rPr>
          <w:rFonts w:ascii="Times New Roman" w:hAnsi="Times New Roman" w:cs="Times New Roman"/>
          <w:sz w:val="24"/>
          <w:szCs w:val="24"/>
          <w:lang w:val="en-US"/>
        </w:rPr>
        <w:t xml:space="preserve">.  These in turn are </w:t>
      </w:r>
      <w:r w:rsidR="009B3E1C">
        <w:rPr>
          <w:rFonts w:ascii="Times New Roman" w:hAnsi="Times New Roman" w:cs="Times New Roman"/>
          <w:sz w:val="24"/>
          <w:szCs w:val="24"/>
          <w:lang w:val="en-US"/>
        </w:rPr>
        <w:t>based upon an epidemiological model</w:t>
      </w:r>
      <w:r w:rsidR="004B194B">
        <w:rPr>
          <w:rFonts w:ascii="Times New Roman" w:hAnsi="Times New Roman" w:cs="Times New Roman"/>
          <w:sz w:val="24"/>
          <w:szCs w:val="24"/>
          <w:lang w:val="en-US"/>
        </w:rPr>
        <w:t xml:space="preserve"> in which each infected individual is estimated to infect </w:t>
      </w:r>
      <w:r w:rsidR="009E7F51">
        <w:rPr>
          <w:rFonts w:ascii="Times New Roman" w:hAnsi="Times New Roman" w:cs="Times New Roman"/>
          <w:i/>
          <w:sz w:val="24"/>
          <w:szCs w:val="24"/>
          <w:lang w:val="en-US"/>
        </w:rPr>
        <w:t>R</w:t>
      </w:r>
      <w:r w:rsidR="004B194B">
        <w:rPr>
          <w:rFonts w:ascii="Times New Roman" w:hAnsi="Times New Roman" w:cs="Times New Roman"/>
          <w:sz w:val="24"/>
          <w:szCs w:val="24"/>
          <w:lang w:val="en-US"/>
        </w:rPr>
        <w:t xml:space="preserve"> others </w:t>
      </w:r>
      <w:r w:rsidR="009E7F51">
        <w:rPr>
          <w:rFonts w:ascii="Times New Roman" w:hAnsi="Times New Roman" w:cs="Times New Roman"/>
          <w:sz w:val="24"/>
          <w:szCs w:val="24"/>
          <w:lang w:val="en-US"/>
        </w:rPr>
        <w:t xml:space="preserve">(the reproduction rate) </w:t>
      </w:r>
      <w:r w:rsidR="004B194B">
        <w:rPr>
          <w:rFonts w:ascii="Times New Roman" w:hAnsi="Times New Roman" w:cs="Times New Roman"/>
          <w:sz w:val="24"/>
          <w:szCs w:val="24"/>
          <w:lang w:val="en-US"/>
        </w:rPr>
        <w:t xml:space="preserve">and this process extrapolated until so many people are infected that the virus dies out for lack of new targets.  </w:t>
      </w:r>
      <w:r w:rsidR="00EB3217">
        <w:rPr>
          <w:rFonts w:ascii="Times New Roman" w:hAnsi="Times New Roman" w:cs="Times New Roman"/>
          <w:sz w:val="24"/>
          <w:szCs w:val="24"/>
          <w:lang w:val="en-US"/>
        </w:rPr>
        <w:t xml:space="preserve">The </w:t>
      </w:r>
      <w:r w:rsidR="003524C6">
        <w:rPr>
          <w:rFonts w:ascii="Times New Roman" w:hAnsi="Times New Roman" w:cs="Times New Roman"/>
          <w:sz w:val="24"/>
          <w:szCs w:val="24"/>
          <w:lang w:val="en-US"/>
        </w:rPr>
        <w:t>estimates of Bailey and West</w:t>
      </w:r>
      <w:r w:rsidR="00EB3217">
        <w:rPr>
          <w:rFonts w:ascii="Times New Roman" w:hAnsi="Times New Roman" w:cs="Times New Roman"/>
          <w:sz w:val="24"/>
          <w:szCs w:val="24"/>
          <w:lang w:val="en-US"/>
        </w:rPr>
        <w:t xml:space="preserve"> (2020)</w:t>
      </w:r>
      <w:r w:rsidR="003524C6">
        <w:rPr>
          <w:rFonts w:ascii="Times New Roman" w:hAnsi="Times New Roman" w:cs="Times New Roman"/>
          <w:sz w:val="24"/>
          <w:szCs w:val="24"/>
          <w:lang w:val="en-US"/>
        </w:rPr>
        <w:t xml:space="preserve">, derived from Moss et al (2020), and those of </w:t>
      </w:r>
      <w:proofErr w:type="spellStart"/>
      <w:r w:rsidR="003524C6">
        <w:rPr>
          <w:rFonts w:ascii="Times New Roman" w:hAnsi="Times New Roman" w:cs="Times New Roman"/>
          <w:sz w:val="24"/>
          <w:szCs w:val="24"/>
          <w:lang w:val="en-US"/>
        </w:rPr>
        <w:t>Kompas</w:t>
      </w:r>
      <w:proofErr w:type="spellEnd"/>
      <w:r w:rsidR="003524C6">
        <w:rPr>
          <w:rFonts w:ascii="Times New Roman" w:hAnsi="Times New Roman" w:cs="Times New Roman"/>
          <w:sz w:val="24"/>
          <w:szCs w:val="24"/>
          <w:lang w:val="en-US"/>
        </w:rPr>
        <w:t xml:space="preserve"> et al (2020), share this crucial feature</w:t>
      </w:r>
      <w:r w:rsidR="008A3323">
        <w:rPr>
          <w:rFonts w:ascii="Times New Roman" w:hAnsi="Times New Roman" w:cs="Times New Roman"/>
          <w:sz w:val="24"/>
          <w:szCs w:val="24"/>
          <w:lang w:val="en-US"/>
        </w:rPr>
        <w:t>.</w:t>
      </w:r>
    </w:p>
    <w:p w14:paraId="6DA1B78E" w14:textId="77777777" w:rsidR="00C177E2" w:rsidRDefault="00C177E2" w:rsidP="007C109B">
      <w:pPr>
        <w:spacing w:after="0" w:line="360" w:lineRule="auto"/>
        <w:jc w:val="both"/>
        <w:rPr>
          <w:rFonts w:ascii="Times New Roman" w:hAnsi="Times New Roman" w:cs="Times New Roman"/>
          <w:sz w:val="24"/>
          <w:szCs w:val="24"/>
          <w:lang w:val="en-US"/>
        </w:rPr>
      </w:pPr>
    </w:p>
    <w:p w14:paraId="700BC076" w14:textId="77777777" w:rsidR="00866D35" w:rsidRPr="00866D35" w:rsidRDefault="00E82320"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predictions </w:t>
      </w:r>
      <w:r w:rsidR="001F2024">
        <w:rPr>
          <w:rFonts w:ascii="Times New Roman" w:hAnsi="Times New Roman" w:cs="Times New Roman"/>
          <w:sz w:val="24"/>
          <w:szCs w:val="24"/>
          <w:lang w:val="en-US"/>
        </w:rPr>
        <w:t xml:space="preserve">suffer from three significant defects.  </w:t>
      </w:r>
      <w:r w:rsidR="00500155">
        <w:rPr>
          <w:rFonts w:ascii="Times New Roman" w:hAnsi="Times New Roman" w:cs="Times New Roman"/>
          <w:sz w:val="24"/>
          <w:szCs w:val="24"/>
          <w:lang w:val="en-US"/>
        </w:rPr>
        <w:t xml:space="preserve">Firstly, </w:t>
      </w:r>
      <w:r w:rsidR="001F2024">
        <w:rPr>
          <w:rFonts w:ascii="Times New Roman" w:hAnsi="Times New Roman" w:cs="Times New Roman"/>
          <w:sz w:val="24"/>
          <w:szCs w:val="24"/>
          <w:lang w:val="en-US"/>
        </w:rPr>
        <w:t xml:space="preserve">the deaths </w:t>
      </w:r>
      <w:r>
        <w:rPr>
          <w:rFonts w:ascii="Times New Roman" w:hAnsi="Times New Roman" w:cs="Times New Roman"/>
          <w:sz w:val="24"/>
          <w:szCs w:val="24"/>
          <w:lang w:val="en-US"/>
        </w:rPr>
        <w:t xml:space="preserve">estimated </w:t>
      </w:r>
      <w:r w:rsidR="001B0045">
        <w:rPr>
          <w:rFonts w:ascii="Times New Roman" w:hAnsi="Times New Roman" w:cs="Times New Roman"/>
          <w:sz w:val="24"/>
          <w:szCs w:val="24"/>
          <w:lang w:val="en-US"/>
        </w:rPr>
        <w:t xml:space="preserve">by these models </w:t>
      </w:r>
      <w:r w:rsidR="001F2024">
        <w:rPr>
          <w:rFonts w:ascii="Times New Roman" w:hAnsi="Times New Roman" w:cs="Times New Roman"/>
          <w:sz w:val="24"/>
          <w:szCs w:val="24"/>
          <w:lang w:val="en-US"/>
        </w:rPr>
        <w:t>under a lockdown policy (</w:t>
      </w:r>
      <w:r w:rsidR="00910145">
        <w:rPr>
          <w:rFonts w:ascii="Times New Roman" w:hAnsi="Times New Roman" w:cs="Times New Roman"/>
          <w:sz w:val="24"/>
          <w:szCs w:val="24"/>
          <w:lang w:val="en-US"/>
        </w:rPr>
        <w:t xml:space="preserve">up to </w:t>
      </w:r>
      <w:r w:rsidR="001F2024">
        <w:rPr>
          <w:rFonts w:ascii="Times New Roman" w:hAnsi="Times New Roman" w:cs="Times New Roman"/>
          <w:sz w:val="24"/>
          <w:szCs w:val="24"/>
          <w:lang w:val="en-US"/>
        </w:rPr>
        <w:t xml:space="preserve">27,000) </w:t>
      </w:r>
      <w:r w:rsidR="005B1E8B">
        <w:rPr>
          <w:rFonts w:ascii="Times New Roman" w:hAnsi="Times New Roman" w:cs="Times New Roman"/>
          <w:sz w:val="24"/>
          <w:szCs w:val="24"/>
          <w:lang w:val="en-US"/>
        </w:rPr>
        <w:t xml:space="preserve">are </w:t>
      </w:r>
      <w:r w:rsidR="001F2024">
        <w:rPr>
          <w:rFonts w:ascii="Times New Roman" w:hAnsi="Times New Roman" w:cs="Times New Roman"/>
          <w:sz w:val="24"/>
          <w:szCs w:val="24"/>
          <w:lang w:val="en-US"/>
        </w:rPr>
        <w:t xml:space="preserve">well in excess of the </w:t>
      </w:r>
      <w:r w:rsidR="00EB3217">
        <w:rPr>
          <w:rFonts w:ascii="Times New Roman" w:hAnsi="Times New Roman" w:cs="Times New Roman"/>
          <w:sz w:val="24"/>
          <w:szCs w:val="24"/>
          <w:lang w:val="en-US"/>
        </w:rPr>
        <w:t>actual deaths incurred to date under a lock</w:t>
      </w:r>
      <w:r w:rsidR="001F2024">
        <w:rPr>
          <w:rFonts w:ascii="Times New Roman" w:hAnsi="Times New Roman" w:cs="Times New Roman"/>
          <w:sz w:val="24"/>
          <w:szCs w:val="24"/>
          <w:lang w:val="en-US"/>
        </w:rPr>
        <w:t>down policy</w:t>
      </w:r>
      <w:r w:rsidR="00EB3217">
        <w:rPr>
          <w:rFonts w:ascii="Times New Roman" w:hAnsi="Times New Roman" w:cs="Times New Roman"/>
          <w:sz w:val="24"/>
          <w:szCs w:val="24"/>
          <w:lang w:val="en-US"/>
        </w:rPr>
        <w:t>.</w:t>
      </w:r>
      <w:r w:rsidR="009E7F51">
        <w:rPr>
          <w:rFonts w:ascii="Times New Roman" w:hAnsi="Times New Roman" w:cs="Times New Roman"/>
          <w:sz w:val="24"/>
          <w:szCs w:val="24"/>
          <w:lang w:val="en-US"/>
        </w:rPr>
        <w:t xml:space="preserve">  </w:t>
      </w:r>
      <w:r w:rsidR="00500155">
        <w:rPr>
          <w:rFonts w:ascii="Times New Roman" w:hAnsi="Times New Roman" w:cs="Times New Roman"/>
          <w:sz w:val="24"/>
          <w:szCs w:val="24"/>
          <w:lang w:val="en-US"/>
        </w:rPr>
        <w:t xml:space="preserve">Secondly, </w:t>
      </w:r>
      <w:r w:rsidR="00DA324A">
        <w:rPr>
          <w:rFonts w:ascii="Times New Roman" w:hAnsi="Times New Roman" w:cs="Times New Roman"/>
          <w:sz w:val="24"/>
          <w:szCs w:val="24"/>
          <w:lang w:val="en-US"/>
        </w:rPr>
        <w:t xml:space="preserve">the deaths </w:t>
      </w:r>
      <w:r>
        <w:rPr>
          <w:rFonts w:ascii="Times New Roman" w:hAnsi="Times New Roman" w:cs="Times New Roman"/>
          <w:sz w:val="24"/>
          <w:szCs w:val="24"/>
          <w:lang w:val="en-US"/>
        </w:rPr>
        <w:t xml:space="preserve">estimated </w:t>
      </w:r>
      <w:r w:rsidR="001B0045">
        <w:rPr>
          <w:rFonts w:ascii="Times New Roman" w:hAnsi="Times New Roman" w:cs="Times New Roman"/>
          <w:sz w:val="24"/>
          <w:szCs w:val="24"/>
          <w:lang w:val="en-US"/>
        </w:rPr>
        <w:t xml:space="preserve">by these models </w:t>
      </w:r>
      <w:r w:rsidR="001B0F2C">
        <w:rPr>
          <w:rFonts w:ascii="Times New Roman" w:hAnsi="Times New Roman" w:cs="Times New Roman"/>
          <w:sz w:val="24"/>
          <w:szCs w:val="24"/>
          <w:lang w:val="en-US"/>
        </w:rPr>
        <w:t xml:space="preserve">under </w:t>
      </w:r>
      <w:r w:rsidR="00F66027">
        <w:rPr>
          <w:rFonts w:ascii="Times New Roman" w:hAnsi="Times New Roman" w:cs="Times New Roman"/>
          <w:sz w:val="24"/>
          <w:szCs w:val="24"/>
          <w:lang w:val="en-US"/>
        </w:rPr>
        <w:t xml:space="preserve">a </w:t>
      </w:r>
      <w:r w:rsidR="001B0F2C">
        <w:rPr>
          <w:rFonts w:ascii="Times New Roman" w:hAnsi="Times New Roman" w:cs="Times New Roman"/>
          <w:sz w:val="24"/>
          <w:szCs w:val="24"/>
          <w:lang w:val="en-US"/>
        </w:rPr>
        <w:t xml:space="preserve">mitigation </w:t>
      </w:r>
      <w:r w:rsidR="00F66027">
        <w:rPr>
          <w:rFonts w:ascii="Times New Roman" w:hAnsi="Times New Roman" w:cs="Times New Roman"/>
          <w:sz w:val="24"/>
          <w:szCs w:val="24"/>
          <w:lang w:val="en-US"/>
        </w:rPr>
        <w:t xml:space="preserve">policy </w:t>
      </w:r>
      <w:r w:rsidR="00910145">
        <w:rPr>
          <w:rFonts w:ascii="Times New Roman" w:hAnsi="Times New Roman" w:cs="Times New Roman"/>
          <w:sz w:val="24"/>
          <w:szCs w:val="24"/>
          <w:lang w:val="en-US"/>
        </w:rPr>
        <w:t xml:space="preserve">(up to </w:t>
      </w:r>
      <w:r w:rsidR="002C0A4D">
        <w:rPr>
          <w:rFonts w:ascii="Times New Roman" w:hAnsi="Times New Roman" w:cs="Times New Roman"/>
          <w:sz w:val="24"/>
          <w:szCs w:val="24"/>
          <w:lang w:val="en-US"/>
        </w:rPr>
        <w:t>141</w:t>
      </w:r>
      <w:r>
        <w:rPr>
          <w:rFonts w:ascii="Times New Roman" w:hAnsi="Times New Roman" w:cs="Times New Roman"/>
          <w:sz w:val="24"/>
          <w:szCs w:val="24"/>
          <w:lang w:val="en-US"/>
        </w:rPr>
        <w:t xml:space="preserve">,000 deaths, which is </w:t>
      </w:r>
      <w:r w:rsidR="002C0A4D">
        <w:rPr>
          <w:rFonts w:ascii="Times New Roman" w:hAnsi="Times New Roman" w:cs="Times New Roman"/>
          <w:sz w:val="24"/>
          <w:szCs w:val="24"/>
          <w:lang w:val="en-US"/>
        </w:rPr>
        <w:t>5,5</w:t>
      </w:r>
      <w:r w:rsidR="001F2024">
        <w:rPr>
          <w:rFonts w:ascii="Times New Roman" w:hAnsi="Times New Roman" w:cs="Times New Roman"/>
          <w:sz w:val="24"/>
          <w:szCs w:val="24"/>
          <w:lang w:val="en-US"/>
        </w:rPr>
        <w:t xml:space="preserve">00 per 1m of </w:t>
      </w:r>
      <w:r>
        <w:rPr>
          <w:rFonts w:ascii="Times New Roman" w:hAnsi="Times New Roman" w:cs="Times New Roman"/>
          <w:sz w:val="24"/>
          <w:szCs w:val="24"/>
          <w:lang w:val="en-US"/>
        </w:rPr>
        <w:t>A</w:t>
      </w:r>
      <w:r w:rsidR="00471376">
        <w:rPr>
          <w:rFonts w:ascii="Times New Roman" w:hAnsi="Times New Roman" w:cs="Times New Roman"/>
          <w:sz w:val="24"/>
          <w:szCs w:val="24"/>
          <w:lang w:val="en-US"/>
        </w:rPr>
        <w:t xml:space="preserve">ustralia’s population </w:t>
      </w:r>
      <w:r w:rsidR="00230339">
        <w:rPr>
          <w:rFonts w:ascii="Times New Roman" w:hAnsi="Times New Roman" w:cs="Times New Roman"/>
          <w:sz w:val="24"/>
          <w:szCs w:val="24"/>
          <w:lang w:val="en-US"/>
        </w:rPr>
        <w:t>of 26m</w:t>
      </w:r>
      <w:r w:rsidR="001F2024">
        <w:rPr>
          <w:rFonts w:ascii="Times New Roman" w:hAnsi="Times New Roman" w:cs="Times New Roman"/>
          <w:sz w:val="24"/>
          <w:szCs w:val="24"/>
          <w:lang w:val="en-US"/>
        </w:rPr>
        <w:t>)</w:t>
      </w:r>
      <w:r w:rsidR="00910145">
        <w:rPr>
          <w:rFonts w:ascii="Times New Roman" w:hAnsi="Times New Roman" w:cs="Times New Roman"/>
          <w:sz w:val="24"/>
          <w:szCs w:val="24"/>
          <w:lang w:val="en-US"/>
        </w:rPr>
        <w:t xml:space="preserve"> are </w:t>
      </w:r>
      <w:r w:rsidR="001F2024">
        <w:rPr>
          <w:rFonts w:ascii="Times New Roman" w:hAnsi="Times New Roman" w:cs="Times New Roman"/>
          <w:sz w:val="24"/>
          <w:szCs w:val="24"/>
          <w:lang w:val="en-US"/>
        </w:rPr>
        <w:t xml:space="preserve">vastly in excess of the death rate per 1m </w:t>
      </w:r>
      <w:r w:rsidR="003B5428">
        <w:rPr>
          <w:rFonts w:ascii="Times New Roman" w:hAnsi="Times New Roman" w:cs="Times New Roman"/>
          <w:sz w:val="24"/>
          <w:szCs w:val="24"/>
          <w:lang w:val="en-US"/>
        </w:rPr>
        <w:t xml:space="preserve">to date </w:t>
      </w:r>
      <w:r w:rsidR="001F2024">
        <w:rPr>
          <w:rFonts w:ascii="Times New Roman" w:hAnsi="Times New Roman" w:cs="Times New Roman"/>
          <w:sz w:val="24"/>
          <w:szCs w:val="24"/>
          <w:lang w:val="en-US"/>
        </w:rPr>
        <w:t>in any country pursui</w:t>
      </w:r>
      <w:r w:rsidR="00C177E2">
        <w:rPr>
          <w:rFonts w:ascii="Times New Roman" w:hAnsi="Times New Roman" w:cs="Times New Roman"/>
          <w:sz w:val="24"/>
          <w:szCs w:val="24"/>
          <w:lang w:val="en-US"/>
        </w:rPr>
        <w:t>ng a mitigation policy.</w:t>
      </w:r>
      <w:r w:rsidR="0017786C">
        <w:rPr>
          <w:rStyle w:val="FootnoteReference"/>
          <w:rFonts w:ascii="Times New Roman" w:hAnsi="Times New Roman" w:cs="Times New Roman"/>
          <w:sz w:val="24"/>
          <w:szCs w:val="24"/>
          <w:lang w:val="en-US"/>
        </w:rPr>
        <w:footnoteReference w:id="2"/>
      </w:r>
      <w:r w:rsidR="00500155">
        <w:rPr>
          <w:rFonts w:ascii="Times New Roman" w:hAnsi="Times New Roman" w:cs="Times New Roman"/>
          <w:sz w:val="24"/>
          <w:szCs w:val="24"/>
          <w:lang w:val="en-US"/>
        </w:rPr>
        <w:t xml:space="preserve">  Thirdly, the obvious explanation for these overestimates is the fact that such models do not allow for the fact that, as the number of deaths rises, people will react by engaging in more and more protective actions that will reduce the future death rate, such as hand washing, mask wearing, reducing social interactions, working from home, etc.  Similarly, predictions about </w:t>
      </w:r>
      <w:r w:rsidR="00910145">
        <w:rPr>
          <w:rFonts w:ascii="Times New Roman" w:hAnsi="Times New Roman" w:cs="Times New Roman"/>
          <w:sz w:val="24"/>
          <w:szCs w:val="24"/>
          <w:lang w:val="en-US"/>
        </w:rPr>
        <w:t xml:space="preserve">the </w:t>
      </w:r>
      <w:r w:rsidR="00500155">
        <w:rPr>
          <w:rFonts w:ascii="Times New Roman" w:hAnsi="Times New Roman" w:cs="Times New Roman"/>
          <w:sz w:val="24"/>
          <w:szCs w:val="24"/>
          <w:lang w:val="en-US"/>
        </w:rPr>
        <w:t xml:space="preserve">deaths from </w:t>
      </w:r>
      <w:r w:rsidR="00277676">
        <w:rPr>
          <w:rFonts w:ascii="Times New Roman" w:hAnsi="Times New Roman" w:cs="Times New Roman"/>
          <w:sz w:val="24"/>
          <w:szCs w:val="24"/>
          <w:lang w:val="en-US"/>
        </w:rPr>
        <w:t xml:space="preserve">a prolonged campaign of </w:t>
      </w:r>
      <w:r w:rsidR="00500155">
        <w:rPr>
          <w:rFonts w:ascii="Times New Roman" w:hAnsi="Times New Roman" w:cs="Times New Roman"/>
          <w:sz w:val="24"/>
          <w:szCs w:val="24"/>
          <w:lang w:val="en-US"/>
        </w:rPr>
        <w:t xml:space="preserve">air raids </w:t>
      </w:r>
      <w:r w:rsidR="00910145">
        <w:rPr>
          <w:rFonts w:ascii="Times New Roman" w:hAnsi="Times New Roman" w:cs="Times New Roman"/>
          <w:sz w:val="24"/>
          <w:szCs w:val="24"/>
          <w:lang w:val="en-US"/>
        </w:rPr>
        <w:t xml:space="preserve">arising from a </w:t>
      </w:r>
      <w:r w:rsidR="00500155">
        <w:rPr>
          <w:rFonts w:ascii="Times New Roman" w:hAnsi="Times New Roman" w:cs="Times New Roman"/>
          <w:sz w:val="24"/>
          <w:szCs w:val="24"/>
          <w:lang w:val="en-US"/>
        </w:rPr>
        <w:t xml:space="preserve">model predicated on the target population taking no evasive action </w:t>
      </w:r>
      <w:r w:rsidR="00277676">
        <w:rPr>
          <w:rFonts w:ascii="Times New Roman" w:hAnsi="Times New Roman" w:cs="Times New Roman"/>
          <w:sz w:val="24"/>
          <w:szCs w:val="24"/>
          <w:lang w:val="en-US"/>
        </w:rPr>
        <w:t xml:space="preserve">as the number of casualties rises </w:t>
      </w:r>
      <w:r w:rsidR="00500155">
        <w:rPr>
          <w:rFonts w:ascii="Times New Roman" w:hAnsi="Times New Roman" w:cs="Times New Roman"/>
          <w:sz w:val="24"/>
          <w:szCs w:val="24"/>
          <w:lang w:val="en-US"/>
        </w:rPr>
        <w:t xml:space="preserve">will also be far too high.  </w:t>
      </w:r>
    </w:p>
    <w:p w14:paraId="0DE37511" w14:textId="77777777" w:rsidR="00866D35" w:rsidRDefault="00866D35" w:rsidP="007C109B">
      <w:pPr>
        <w:spacing w:after="0" w:line="360" w:lineRule="auto"/>
        <w:jc w:val="both"/>
        <w:rPr>
          <w:rFonts w:ascii="Times New Roman" w:hAnsi="Times New Roman" w:cs="Times New Roman"/>
          <w:sz w:val="24"/>
          <w:szCs w:val="24"/>
          <w:lang w:val="en-US"/>
        </w:rPr>
      </w:pPr>
    </w:p>
    <w:p w14:paraId="6A0ECCF0" w14:textId="77777777" w:rsidR="00C62A0A" w:rsidRDefault="00601E0B"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view of these </w:t>
      </w:r>
      <w:r w:rsidR="00670E87">
        <w:rPr>
          <w:rFonts w:ascii="Times New Roman" w:hAnsi="Times New Roman" w:cs="Times New Roman"/>
          <w:sz w:val="24"/>
          <w:szCs w:val="24"/>
          <w:lang w:val="en-US"/>
        </w:rPr>
        <w:t xml:space="preserve">empirical and theoretical </w:t>
      </w:r>
      <w:r>
        <w:rPr>
          <w:rFonts w:ascii="Times New Roman" w:hAnsi="Times New Roman" w:cs="Times New Roman"/>
          <w:sz w:val="24"/>
          <w:szCs w:val="24"/>
          <w:lang w:val="en-US"/>
        </w:rPr>
        <w:t xml:space="preserve">deficiencies, </w:t>
      </w:r>
      <w:r w:rsidR="00EB3217">
        <w:rPr>
          <w:rFonts w:ascii="Times New Roman" w:hAnsi="Times New Roman" w:cs="Times New Roman"/>
          <w:sz w:val="24"/>
          <w:szCs w:val="24"/>
          <w:lang w:val="en-US"/>
        </w:rPr>
        <w:t xml:space="preserve">I </w:t>
      </w:r>
      <w:r w:rsidR="003B5428">
        <w:rPr>
          <w:rFonts w:ascii="Times New Roman" w:hAnsi="Times New Roman" w:cs="Times New Roman"/>
          <w:sz w:val="24"/>
          <w:szCs w:val="24"/>
          <w:lang w:val="en-US"/>
        </w:rPr>
        <w:t xml:space="preserve">estimate the </w:t>
      </w:r>
      <w:r w:rsidR="0078041C">
        <w:rPr>
          <w:rFonts w:ascii="Times New Roman" w:hAnsi="Times New Roman" w:cs="Times New Roman"/>
          <w:sz w:val="24"/>
          <w:szCs w:val="24"/>
          <w:lang w:val="en-US"/>
        </w:rPr>
        <w:t xml:space="preserve">additional </w:t>
      </w:r>
      <w:r w:rsidR="009B3E1C">
        <w:rPr>
          <w:rFonts w:ascii="Times New Roman" w:hAnsi="Times New Roman" w:cs="Times New Roman"/>
          <w:sz w:val="24"/>
          <w:szCs w:val="24"/>
          <w:lang w:val="en-US"/>
        </w:rPr>
        <w:t xml:space="preserve">deaths under a mitigation </w:t>
      </w:r>
      <w:r w:rsidR="0078041C">
        <w:rPr>
          <w:rFonts w:ascii="Times New Roman" w:hAnsi="Times New Roman" w:cs="Times New Roman"/>
          <w:sz w:val="24"/>
          <w:szCs w:val="24"/>
          <w:lang w:val="en-US"/>
        </w:rPr>
        <w:t xml:space="preserve">rather than a lockdown </w:t>
      </w:r>
      <w:r w:rsidR="009B3E1C">
        <w:rPr>
          <w:rFonts w:ascii="Times New Roman" w:hAnsi="Times New Roman" w:cs="Times New Roman"/>
          <w:sz w:val="24"/>
          <w:szCs w:val="24"/>
          <w:lang w:val="en-US"/>
        </w:rPr>
        <w:t>strategy</w:t>
      </w:r>
      <w:r w:rsidR="00DE68B5">
        <w:rPr>
          <w:rFonts w:ascii="Times New Roman" w:hAnsi="Times New Roman" w:cs="Times New Roman"/>
          <w:sz w:val="24"/>
          <w:szCs w:val="24"/>
          <w:lang w:val="en-US"/>
        </w:rPr>
        <w:t xml:space="preserve"> in Australia</w:t>
      </w:r>
      <w:r w:rsidR="003B5428">
        <w:rPr>
          <w:rFonts w:ascii="Times New Roman" w:hAnsi="Times New Roman" w:cs="Times New Roman"/>
          <w:sz w:val="24"/>
          <w:szCs w:val="24"/>
          <w:lang w:val="en-US"/>
        </w:rPr>
        <w:t xml:space="preserve"> by examining the </w:t>
      </w:r>
      <w:r w:rsidR="009B3E1C">
        <w:rPr>
          <w:rFonts w:ascii="Times New Roman" w:hAnsi="Times New Roman" w:cs="Times New Roman"/>
          <w:sz w:val="24"/>
          <w:szCs w:val="24"/>
          <w:lang w:val="en-US"/>
        </w:rPr>
        <w:t xml:space="preserve">death rates in other countries.  </w:t>
      </w:r>
      <w:r w:rsidR="00DF5B35">
        <w:rPr>
          <w:rFonts w:ascii="Times New Roman" w:hAnsi="Times New Roman" w:cs="Times New Roman"/>
          <w:sz w:val="24"/>
          <w:szCs w:val="24"/>
          <w:lang w:val="en-US"/>
        </w:rPr>
        <w:t xml:space="preserve">Foster (2020) uses the death rate in Sweden to estimate the additional Australian deaths under a mitigation approach at 10,000 (at the time of her analysis in August).  </w:t>
      </w:r>
      <w:r w:rsidR="006A3CE2">
        <w:rPr>
          <w:rFonts w:ascii="Times New Roman" w:hAnsi="Times New Roman" w:cs="Times New Roman"/>
          <w:sz w:val="24"/>
          <w:szCs w:val="24"/>
          <w:lang w:val="en-US"/>
        </w:rPr>
        <w:t xml:space="preserve">However, Sweden was not the only mitigator; Iceland, Finland and Latvia did likewise.  Even better would be to use the full set of countries with reliable data.  </w:t>
      </w:r>
      <w:r w:rsidR="00F472F7">
        <w:rPr>
          <w:rFonts w:ascii="Times New Roman" w:hAnsi="Times New Roman" w:cs="Times New Roman"/>
          <w:sz w:val="24"/>
          <w:szCs w:val="24"/>
          <w:lang w:val="en-US"/>
        </w:rPr>
        <w:t xml:space="preserve">One such approach would be to conduct a cross-country regression of death rates on variables found to influence such death rates, and include amongst </w:t>
      </w:r>
      <w:r w:rsidR="009312C0">
        <w:rPr>
          <w:rFonts w:ascii="Times New Roman" w:hAnsi="Times New Roman" w:cs="Times New Roman"/>
          <w:sz w:val="24"/>
          <w:szCs w:val="24"/>
          <w:lang w:val="en-US"/>
        </w:rPr>
        <w:t xml:space="preserve">the </w:t>
      </w:r>
      <w:r w:rsidR="00F472F7">
        <w:rPr>
          <w:rFonts w:ascii="Times New Roman" w:hAnsi="Times New Roman" w:cs="Times New Roman"/>
          <w:sz w:val="24"/>
          <w:szCs w:val="24"/>
          <w:lang w:val="en-US"/>
        </w:rPr>
        <w:t xml:space="preserve">explanatory variables the strength of government restrictions.  The coefficient on this latter variable would then </w:t>
      </w:r>
      <w:r w:rsidR="0061614D">
        <w:rPr>
          <w:rFonts w:ascii="Times New Roman" w:hAnsi="Times New Roman" w:cs="Times New Roman"/>
          <w:sz w:val="24"/>
          <w:szCs w:val="24"/>
          <w:lang w:val="en-US"/>
        </w:rPr>
        <w:t xml:space="preserve">provide an estimate of how many extra deaths would arise if the restrictions were less onerous.  </w:t>
      </w:r>
      <w:r w:rsidR="00C62A0A">
        <w:rPr>
          <w:rFonts w:ascii="Times New Roman" w:hAnsi="Times New Roman" w:cs="Times New Roman"/>
          <w:sz w:val="24"/>
          <w:szCs w:val="24"/>
          <w:lang w:val="en-US"/>
        </w:rPr>
        <w:t>Chaud</w:t>
      </w:r>
      <w:r w:rsidR="00E61F50">
        <w:rPr>
          <w:rFonts w:ascii="Times New Roman" w:hAnsi="Times New Roman" w:cs="Times New Roman"/>
          <w:sz w:val="24"/>
          <w:szCs w:val="24"/>
          <w:lang w:val="en-US"/>
        </w:rPr>
        <w:t>h</w:t>
      </w:r>
      <w:r w:rsidR="00C62A0A">
        <w:rPr>
          <w:rFonts w:ascii="Times New Roman" w:hAnsi="Times New Roman" w:cs="Times New Roman"/>
          <w:sz w:val="24"/>
          <w:szCs w:val="24"/>
          <w:lang w:val="en-US"/>
        </w:rPr>
        <w:t>ry et al (2020) examine</w:t>
      </w:r>
      <w:r w:rsidR="00BE112E">
        <w:rPr>
          <w:rFonts w:ascii="Times New Roman" w:hAnsi="Times New Roman" w:cs="Times New Roman"/>
          <w:sz w:val="24"/>
          <w:szCs w:val="24"/>
          <w:lang w:val="en-US"/>
        </w:rPr>
        <w:t>s</w:t>
      </w:r>
      <w:r w:rsidR="00C62A0A">
        <w:rPr>
          <w:rFonts w:ascii="Times New Roman" w:hAnsi="Times New Roman" w:cs="Times New Roman"/>
          <w:sz w:val="24"/>
          <w:szCs w:val="24"/>
          <w:lang w:val="en-US"/>
        </w:rPr>
        <w:t xml:space="preserve"> the 50 countries with the highest case counts as at 1 April</w:t>
      </w:r>
      <w:r w:rsidR="00F82980">
        <w:rPr>
          <w:rFonts w:ascii="Times New Roman" w:hAnsi="Times New Roman" w:cs="Times New Roman"/>
          <w:sz w:val="24"/>
          <w:szCs w:val="24"/>
          <w:lang w:val="en-US"/>
        </w:rPr>
        <w:t xml:space="preserve"> 2020</w:t>
      </w:r>
      <w:r w:rsidR="00C62A0A">
        <w:rPr>
          <w:rFonts w:ascii="Times New Roman" w:hAnsi="Times New Roman" w:cs="Times New Roman"/>
          <w:sz w:val="24"/>
          <w:szCs w:val="24"/>
          <w:lang w:val="en-US"/>
        </w:rPr>
        <w:t>, and regress</w:t>
      </w:r>
      <w:r w:rsidR="00836867">
        <w:rPr>
          <w:rFonts w:ascii="Times New Roman" w:hAnsi="Times New Roman" w:cs="Times New Roman"/>
          <w:sz w:val="24"/>
          <w:szCs w:val="24"/>
          <w:lang w:val="en-US"/>
        </w:rPr>
        <w:t>es</w:t>
      </w:r>
      <w:r w:rsidR="00C62A0A">
        <w:rPr>
          <w:rFonts w:ascii="Times New Roman" w:hAnsi="Times New Roman" w:cs="Times New Roman"/>
          <w:sz w:val="24"/>
          <w:szCs w:val="24"/>
          <w:lang w:val="en-US"/>
        </w:rPr>
        <w:t xml:space="preserve"> cross-country death rates per </w:t>
      </w:r>
      <w:r w:rsidR="00305A34">
        <w:rPr>
          <w:rFonts w:ascii="Times New Roman" w:hAnsi="Times New Roman" w:cs="Times New Roman"/>
          <w:sz w:val="24"/>
          <w:szCs w:val="24"/>
          <w:lang w:val="en-US"/>
        </w:rPr>
        <w:t xml:space="preserve">1m </w:t>
      </w:r>
      <w:r w:rsidR="00C62A0A">
        <w:rPr>
          <w:rFonts w:ascii="Times New Roman" w:hAnsi="Times New Roman" w:cs="Times New Roman"/>
          <w:sz w:val="24"/>
          <w:szCs w:val="24"/>
          <w:lang w:val="en-US"/>
        </w:rPr>
        <w:t>of population (up to 1 May</w:t>
      </w:r>
      <w:r w:rsidR="00F82980">
        <w:rPr>
          <w:rFonts w:ascii="Times New Roman" w:hAnsi="Times New Roman" w:cs="Times New Roman"/>
          <w:sz w:val="24"/>
          <w:szCs w:val="24"/>
          <w:lang w:val="en-US"/>
        </w:rPr>
        <w:t xml:space="preserve"> 2020</w:t>
      </w:r>
      <w:r w:rsidR="00C62A0A">
        <w:rPr>
          <w:rFonts w:ascii="Times New Roman" w:hAnsi="Times New Roman" w:cs="Times New Roman"/>
          <w:sz w:val="24"/>
          <w:szCs w:val="24"/>
          <w:lang w:val="en-US"/>
        </w:rPr>
        <w:t>)</w:t>
      </w:r>
      <w:r w:rsidR="00305A34">
        <w:rPr>
          <w:rFonts w:ascii="Times New Roman" w:hAnsi="Times New Roman" w:cs="Times New Roman"/>
          <w:sz w:val="24"/>
          <w:szCs w:val="24"/>
          <w:lang w:val="en-US"/>
        </w:rPr>
        <w:t xml:space="preserve"> on a </w:t>
      </w:r>
      <w:r w:rsidR="00305A34">
        <w:rPr>
          <w:rFonts w:ascii="Times New Roman" w:hAnsi="Times New Roman" w:cs="Times New Roman"/>
          <w:sz w:val="24"/>
          <w:szCs w:val="24"/>
          <w:lang w:val="en-US"/>
        </w:rPr>
        <w:lastRenderedPageBreak/>
        <w:t xml:space="preserve">number of independent variables, including various measures of </w:t>
      </w:r>
      <w:r w:rsidR="00EC5310">
        <w:rPr>
          <w:rFonts w:ascii="Times New Roman" w:hAnsi="Times New Roman" w:cs="Times New Roman"/>
          <w:sz w:val="24"/>
          <w:szCs w:val="24"/>
          <w:lang w:val="en-US"/>
        </w:rPr>
        <w:t xml:space="preserve">government intervention, and find that </w:t>
      </w:r>
      <w:r w:rsidR="00EC5310" w:rsidRPr="00F82980">
        <w:rPr>
          <w:rFonts w:ascii="Times New Roman" w:hAnsi="Times New Roman" w:cs="Times New Roman"/>
          <w:i/>
          <w:sz w:val="24"/>
          <w:szCs w:val="24"/>
          <w:lang w:val="en-US"/>
        </w:rPr>
        <w:t>none</w:t>
      </w:r>
      <w:r w:rsidR="00EC5310">
        <w:rPr>
          <w:rFonts w:ascii="Times New Roman" w:hAnsi="Times New Roman" w:cs="Times New Roman"/>
          <w:sz w:val="24"/>
          <w:szCs w:val="24"/>
          <w:lang w:val="en-US"/>
        </w:rPr>
        <w:t xml:space="preserve"> of these </w:t>
      </w:r>
      <w:r w:rsidR="001D1A4A">
        <w:rPr>
          <w:rFonts w:ascii="Times New Roman" w:hAnsi="Times New Roman" w:cs="Times New Roman"/>
          <w:sz w:val="24"/>
          <w:szCs w:val="24"/>
          <w:lang w:val="en-US"/>
        </w:rPr>
        <w:t xml:space="preserve">latter variables </w:t>
      </w:r>
      <w:r w:rsidR="006600D7">
        <w:rPr>
          <w:rFonts w:ascii="Times New Roman" w:hAnsi="Times New Roman" w:cs="Times New Roman"/>
          <w:sz w:val="24"/>
          <w:szCs w:val="24"/>
          <w:lang w:val="en-US"/>
        </w:rPr>
        <w:t xml:space="preserve">were </w:t>
      </w:r>
      <w:r w:rsidR="00EC5310">
        <w:rPr>
          <w:rFonts w:ascii="Times New Roman" w:hAnsi="Times New Roman" w:cs="Times New Roman"/>
          <w:sz w:val="24"/>
          <w:szCs w:val="24"/>
          <w:lang w:val="en-US"/>
        </w:rPr>
        <w:t>statistically significant.</w:t>
      </w:r>
      <w:r w:rsidR="00C63B1D">
        <w:rPr>
          <w:rFonts w:ascii="Times New Roman" w:hAnsi="Times New Roman" w:cs="Times New Roman"/>
          <w:sz w:val="24"/>
          <w:szCs w:val="24"/>
          <w:lang w:val="en-US"/>
        </w:rPr>
        <w:t xml:space="preserve">  </w:t>
      </w:r>
      <w:r w:rsidR="00C63B1D" w:rsidRPr="00485B52">
        <w:rPr>
          <w:rFonts w:ascii="Times New Roman" w:hAnsi="Times New Roman" w:cs="Times New Roman"/>
          <w:sz w:val="24"/>
          <w:szCs w:val="24"/>
          <w:lang w:val="en-US"/>
        </w:rPr>
        <w:t xml:space="preserve">Gibson (2020) </w:t>
      </w:r>
      <w:r w:rsidR="00C63B1D">
        <w:rPr>
          <w:rFonts w:ascii="Times New Roman" w:hAnsi="Times New Roman" w:cs="Times New Roman"/>
          <w:sz w:val="24"/>
          <w:szCs w:val="24"/>
          <w:lang w:val="en-US"/>
        </w:rPr>
        <w:t>conducts a similar analysis, using the 34 OECD member countries, death rates up to 18 August</w:t>
      </w:r>
      <w:r w:rsidR="00F82980">
        <w:rPr>
          <w:rFonts w:ascii="Times New Roman" w:hAnsi="Times New Roman" w:cs="Times New Roman"/>
          <w:sz w:val="24"/>
          <w:szCs w:val="24"/>
          <w:lang w:val="en-US"/>
        </w:rPr>
        <w:t xml:space="preserve"> 2020</w:t>
      </w:r>
      <w:r w:rsidR="00C63B1D">
        <w:rPr>
          <w:rFonts w:ascii="Times New Roman" w:hAnsi="Times New Roman" w:cs="Times New Roman"/>
          <w:sz w:val="24"/>
          <w:szCs w:val="24"/>
          <w:lang w:val="en-US"/>
        </w:rPr>
        <w:t>, and various independent variables including the average l</w:t>
      </w:r>
      <w:r w:rsidR="00CD3970">
        <w:rPr>
          <w:rFonts w:ascii="Times New Roman" w:hAnsi="Times New Roman" w:cs="Times New Roman"/>
          <w:sz w:val="24"/>
          <w:szCs w:val="24"/>
          <w:lang w:val="en-US"/>
        </w:rPr>
        <w:t>evel of government restrictions</w:t>
      </w:r>
      <w:r w:rsidR="0095696F">
        <w:rPr>
          <w:rFonts w:ascii="Times New Roman" w:hAnsi="Times New Roman" w:cs="Times New Roman"/>
          <w:sz w:val="24"/>
          <w:szCs w:val="24"/>
          <w:lang w:val="en-US"/>
        </w:rPr>
        <w:t xml:space="preserve"> over the period of the crisis</w:t>
      </w:r>
      <w:r w:rsidR="00CD3970">
        <w:rPr>
          <w:rFonts w:ascii="Times New Roman" w:hAnsi="Times New Roman" w:cs="Times New Roman"/>
          <w:sz w:val="24"/>
          <w:szCs w:val="24"/>
          <w:lang w:val="en-US"/>
        </w:rPr>
        <w:t>.</w:t>
      </w:r>
      <w:r w:rsidR="00C63B1D">
        <w:rPr>
          <w:rFonts w:ascii="Times New Roman" w:hAnsi="Times New Roman" w:cs="Times New Roman"/>
          <w:sz w:val="24"/>
          <w:szCs w:val="24"/>
          <w:lang w:val="en-US"/>
        </w:rPr>
        <w:t xml:space="preserve"> </w:t>
      </w:r>
      <w:r w:rsidR="00C63B1D">
        <w:rPr>
          <w:rStyle w:val="FootnoteReference"/>
          <w:rFonts w:ascii="Times New Roman" w:hAnsi="Times New Roman" w:cs="Times New Roman"/>
          <w:sz w:val="24"/>
          <w:szCs w:val="24"/>
          <w:lang w:val="en-US"/>
        </w:rPr>
        <w:footnoteReference w:id="3"/>
      </w:r>
      <w:r w:rsidR="00C63B1D">
        <w:rPr>
          <w:rFonts w:ascii="Times New Roman" w:hAnsi="Times New Roman" w:cs="Times New Roman"/>
          <w:sz w:val="24"/>
          <w:szCs w:val="24"/>
          <w:lang w:val="en-US"/>
        </w:rPr>
        <w:t xml:space="preserve">  </w:t>
      </w:r>
      <w:r w:rsidR="00CD3970">
        <w:rPr>
          <w:rFonts w:ascii="Times New Roman" w:hAnsi="Times New Roman" w:cs="Times New Roman"/>
          <w:sz w:val="24"/>
          <w:szCs w:val="24"/>
          <w:lang w:val="en-US"/>
        </w:rPr>
        <w:t xml:space="preserve">He </w:t>
      </w:r>
      <w:r w:rsidR="00C63B1D">
        <w:rPr>
          <w:rFonts w:ascii="Times New Roman" w:hAnsi="Times New Roman" w:cs="Times New Roman"/>
          <w:sz w:val="24"/>
          <w:szCs w:val="24"/>
          <w:lang w:val="en-US"/>
        </w:rPr>
        <w:t xml:space="preserve">finds that policy stringency (averaged over the whole crisis period) is </w:t>
      </w:r>
      <w:r w:rsidR="00C63B1D" w:rsidRPr="00BE112E">
        <w:rPr>
          <w:rFonts w:ascii="Times New Roman" w:hAnsi="Times New Roman" w:cs="Times New Roman"/>
          <w:i/>
          <w:sz w:val="24"/>
          <w:szCs w:val="24"/>
          <w:lang w:val="en-US"/>
        </w:rPr>
        <w:t>not</w:t>
      </w:r>
      <w:r w:rsidR="00C63B1D">
        <w:rPr>
          <w:rFonts w:ascii="Times New Roman" w:hAnsi="Times New Roman" w:cs="Times New Roman"/>
          <w:sz w:val="24"/>
          <w:szCs w:val="24"/>
          <w:lang w:val="en-US"/>
        </w:rPr>
        <w:t xml:space="preserve"> statistically significant in explaining cross-country variation in death rates (ibid, Table 2).  He also examines average stringency both before and after the estimated infection peak for each country, and finds mild statistical significance for average stringency prior to the estimated infection peak along with a negative coefficient (ibid, Table 2).  He also uses average stringency in other countries within the same OECD group as an instrumental variable, to test for reverse causality between stringency and death rates, and finds no evidence of rever</w:t>
      </w:r>
      <w:r w:rsidR="00CD3970">
        <w:rPr>
          <w:rFonts w:ascii="Times New Roman" w:hAnsi="Times New Roman" w:cs="Times New Roman"/>
          <w:sz w:val="24"/>
          <w:szCs w:val="24"/>
          <w:lang w:val="en-US"/>
        </w:rPr>
        <w:t>se causality.</w:t>
      </w:r>
      <w:r w:rsidR="0067167C">
        <w:rPr>
          <w:rFonts w:ascii="Times New Roman" w:hAnsi="Times New Roman" w:cs="Times New Roman"/>
          <w:sz w:val="24"/>
          <w:szCs w:val="24"/>
          <w:lang w:val="en-US"/>
        </w:rPr>
        <w:t xml:space="preserve">  Hale et al (2020b</w:t>
      </w:r>
      <w:r w:rsidR="00442067">
        <w:rPr>
          <w:rFonts w:ascii="Times New Roman" w:hAnsi="Times New Roman" w:cs="Times New Roman"/>
          <w:sz w:val="24"/>
          <w:szCs w:val="24"/>
          <w:lang w:val="en-US"/>
        </w:rPr>
        <w:t xml:space="preserve">) </w:t>
      </w:r>
      <w:r w:rsidR="001C01CD">
        <w:rPr>
          <w:rFonts w:ascii="Times New Roman" w:hAnsi="Times New Roman" w:cs="Times New Roman"/>
          <w:sz w:val="24"/>
          <w:szCs w:val="24"/>
          <w:lang w:val="en-US"/>
        </w:rPr>
        <w:t>conduct a similar analysis, using 170 countries</w:t>
      </w:r>
      <w:r w:rsidR="00D42E9D">
        <w:rPr>
          <w:rFonts w:ascii="Times New Roman" w:hAnsi="Times New Roman" w:cs="Times New Roman"/>
          <w:sz w:val="24"/>
          <w:szCs w:val="24"/>
          <w:lang w:val="en-US"/>
        </w:rPr>
        <w:t xml:space="preserve"> and data to 27 May 2020</w:t>
      </w:r>
      <w:r w:rsidR="001C01CD">
        <w:rPr>
          <w:rFonts w:ascii="Times New Roman" w:hAnsi="Times New Roman" w:cs="Times New Roman"/>
          <w:sz w:val="24"/>
          <w:szCs w:val="24"/>
          <w:lang w:val="en-US"/>
        </w:rPr>
        <w:t xml:space="preserve">, </w:t>
      </w:r>
      <w:r w:rsidR="00442067">
        <w:rPr>
          <w:rFonts w:ascii="Times New Roman" w:hAnsi="Times New Roman" w:cs="Times New Roman"/>
          <w:sz w:val="24"/>
          <w:szCs w:val="24"/>
          <w:lang w:val="en-US"/>
        </w:rPr>
        <w:t xml:space="preserve">and find that </w:t>
      </w:r>
      <w:r w:rsidR="001C01CD">
        <w:rPr>
          <w:rFonts w:ascii="Times New Roman" w:hAnsi="Times New Roman" w:cs="Times New Roman"/>
          <w:sz w:val="24"/>
          <w:szCs w:val="24"/>
          <w:lang w:val="en-US"/>
        </w:rPr>
        <w:t xml:space="preserve">both </w:t>
      </w:r>
      <w:r w:rsidR="00442067">
        <w:rPr>
          <w:rFonts w:ascii="Times New Roman" w:hAnsi="Times New Roman" w:cs="Times New Roman"/>
          <w:sz w:val="24"/>
          <w:szCs w:val="24"/>
          <w:lang w:val="en-US"/>
        </w:rPr>
        <w:t xml:space="preserve">the speed of government response </w:t>
      </w:r>
      <w:r w:rsidR="001C01CD">
        <w:rPr>
          <w:rFonts w:ascii="Times New Roman" w:hAnsi="Times New Roman" w:cs="Times New Roman"/>
          <w:sz w:val="24"/>
          <w:szCs w:val="24"/>
          <w:lang w:val="en-US"/>
        </w:rPr>
        <w:t xml:space="preserve">(number of days from the first reported case till the government restrictions reach 40 on the Hale et al, 2020a </w:t>
      </w:r>
      <w:r w:rsidR="00F82980">
        <w:rPr>
          <w:rFonts w:ascii="Times New Roman" w:hAnsi="Times New Roman" w:cs="Times New Roman"/>
          <w:sz w:val="24"/>
          <w:szCs w:val="24"/>
          <w:lang w:val="en-US"/>
        </w:rPr>
        <w:t xml:space="preserve">Stringency </w:t>
      </w:r>
      <w:r w:rsidR="001C01CD">
        <w:rPr>
          <w:rFonts w:ascii="Times New Roman" w:hAnsi="Times New Roman" w:cs="Times New Roman"/>
          <w:sz w:val="24"/>
          <w:szCs w:val="24"/>
          <w:lang w:val="en-US"/>
        </w:rPr>
        <w:t xml:space="preserve">index) </w:t>
      </w:r>
      <w:r w:rsidR="00442067">
        <w:rPr>
          <w:rFonts w:ascii="Times New Roman" w:hAnsi="Times New Roman" w:cs="Times New Roman"/>
          <w:sz w:val="24"/>
          <w:szCs w:val="24"/>
          <w:lang w:val="en-US"/>
        </w:rPr>
        <w:t>and the severity of the restrictions (using the Stringency index of Hale et al, 2020a) affect death rates in the expected way.</w:t>
      </w:r>
      <w:r w:rsidR="007D1897">
        <w:rPr>
          <w:rFonts w:ascii="Times New Roman" w:hAnsi="Times New Roman" w:cs="Times New Roman"/>
          <w:sz w:val="24"/>
          <w:szCs w:val="24"/>
          <w:lang w:val="en-US"/>
        </w:rPr>
        <w:t xml:space="preserve">  </w:t>
      </w:r>
    </w:p>
    <w:p w14:paraId="54D90321" w14:textId="77777777" w:rsidR="009B3E1C" w:rsidRDefault="009B3E1C" w:rsidP="000B7E7F">
      <w:pPr>
        <w:spacing w:after="0" w:line="360" w:lineRule="auto"/>
        <w:jc w:val="both"/>
        <w:rPr>
          <w:rFonts w:ascii="Times New Roman" w:hAnsi="Times New Roman" w:cs="Times New Roman"/>
          <w:sz w:val="24"/>
          <w:szCs w:val="24"/>
          <w:lang w:val="en-US"/>
        </w:rPr>
      </w:pPr>
    </w:p>
    <w:p w14:paraId="2459F111"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the actual or probable unreliability of data from many countries, it is desirable to limit the analysis to countries for which the data is likely to be very reliable.  It is also desirable to eliminate countries with federal systems, in which restrictions </w:t>
      </w:r>
      <w:r w:rsidR="00882288">
        <w:rPr>
          <w:rFonts w:ascii="Times New Roman" w:hAnsi="Times New Roman" w:cs="Times New Roman"/>
          <w:sz w:val="24"/>
          <w:szCs w:val="24"/>
          <w:lang w:val="en-US"/>
        </w:rPr>
        <w:t xml:space="preserve">varied </w:t>
      </w:r>
      <w:r>
        <w:rPr>
          <w:rFonts w:ascii="Times New Roman" w:hAnsi="Times New Roman" w:cs="Times New Roman"/>
          <w:sz w:val="24"/>
          <w:szCs w:val="24"/>
          <w:lang w:val="en-US"/>
        </w:rPr>
        <w:t>by state or province</w:t>
      </w:r>
      <w:r w:rsidR="00882288">
        <w:rPr>
          <w:rFonts w:ascii="Times New Roman" w:hAnsi="Times New Roman" w:cs="Times New Roman"/>
          <w:sz w:val="24"/>
          <w:szCs w:val="24"/>
          <w:lang w:val="en-US"/>
        </w:rPr>
        <w:t>, because the Hale et al (2020a) data is only available at the country-level</w:t>
      </w:r>
      <w:r>
        <w:rPr>
          <w:rFonts w:ascii="Times New Roman" w:hAnsi="Times New Roman" w:cs="Times New Roman"/>
          <w:sz w:val="24"/>
          <w:szCs w:val="24"/>
          <w:lang w:val="en-US"/>
        </w:rPr>
        <w:t>.  This leaves European countries and the East Asian democracies (Japan, South Korea, Taiwan, Singapore, plus Hong Kong).  Hale et al (2020a) have constructed a set of indexes, which assign a daily score to each country for the severity of their restrictions imposed by government, ranging from 0 to 100 and taking account of different types of restrictions.  I use their Stringency Index, which takes account of 8 different types of g</w:t>
      </w:r>
      <w:r w:rsidR="00AD71C8">
        <w:rPr>
          <w:rFonts w:ascii="Times New Roman" w:hAnsi="Times New Roman" w:cs="Times New Roman"/>
          <w:sz w:val="24"/>
          <w:szCs w:val="24"/>
          <w:lang w:val="en-US"/>
        </w:rPr>
        <w:t>overnment restrictions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Death rates per 1m of population are drawn from </w:t>
      </w:r>
      <w:hyperlink r:id="rId9" w:history="1">
        <w:r w:rsidR="00931D6B" w:rsidRPr="00F466C9">
          <w:rPr>
            <w:rStyle w:val="Hyperlink"/>
            <w:rFonts w:ascii="Times New Roman" w:hAnsi="Times New Roman" w:cs="Times New Roman"/>
            <w:sz w:val="24"/>
            <w:szCs w:val="24"/>
            <w:lang w:val="en-US"/>
          </w:rPr>
          <w:t>https://www.worldometers.info/coronavirus/</w:t>
        </w:r>
      </w:hyperlink>
      <w:r w:rsidR="00931D6B">
        <w:rPr>
          <w:rFonts w:ascii="Times New Roman" w:hAnsi="Times New Roman" w:cs="Times New Roman"/>
          <w:sz w:val="24"/>
          <w:szCs w:val="24"/>
          <w:lang w:val="en-US"/>
        </w:rPr>
        <w:t>.</w:t>
      </w:r>
      <w:r>
        <w:rPr>
          <w:rFonts w:ascii="Times New Roman" w:hAnsi="Times New Roman" w:cs="Times New Roman"/>
          <w:sz w:val="24"/>
          <w:szCs w:val="24"/>
          <w:lang w:val="en-US"/>
        </w:rPr>
        <w:t xml:space="preserve">  All five East Asian countries have very low death rates regardless of the severity of restrictions, and the </w:t>
      </w:r>
      <w:r w:rsidR="005807FD">
        <w:rPr>
          <w:rFonts w:ascii="Times New Roman" w:hAnsi="Times New Roman" w:cs="Times New Roman"/>
          <w:sz w:val="24"/>
          <w:szCs w:val="24"/>
          <w:lang w:val="en-US"/>
        </w:rPr>
        <w:t xml:space="preserve">possible </w:t>
      </w:r>
      <w:r>
        <w:rPr>
          <w:rFonts w:ascii="Times New Roman" w:hAnsi="Times New Roman" w:cs="Times New Roman"/>
          <w:sz w:val="24"/>
          <w:szCs w:val="24"/>
          <w:lang w:val="en-US"/>
        </w:rPr>
        <w:t xml:space="preserve">reasons (a culture of mask wearing, not shaking hands, compliance with government directives, extensive contact tracing and testing, </w:t>
      </w:r>
      <w:r w:rsidR="007C5D67">
        <w:rPr>
          <w:rFonts w:ascii="Times New Roman" w:hAnsi="Times New Roman" w:cs="Times New Roman"/>
          <w:sz w:val="24"/>
          <w:szCs w:val="24"/>
          <w:lang w:val="en-US"/>
        </w:rPr>
        <w:t>and pre-existing immunity</w:t>
      </w:r>
      <w:r>
        <w:rPr>
          <w:rFonts w:ascii="Times New Roman" w:hAnsi="Times New Roman" w:cs="Times New Roman"/>
          <w:sz w:val="24"/>
          <w:szCs w:val="24"/>
          <w:lang w:val="en-US"/>
        </w:rPr>
        <w:t xml:space="preserve">) are or were not </w:t>
      </w:r>
      <w:r>
        <w:rPr>
          <w:rFonts w:ascii="Times New Roman" w:hAnsi="Times New Roman" w:cs="Times New Roman"/>
          <w:sz w:val="24"/>
          <w:szCs w:val="24"/>
          <w:lang w:val="en-US"/>
        </w:rPr>
        <w:lastRenderedPageBreak/>
        <w:t>applicable to the same degree in Australia.  So, I use only the European cou</w:t>
      </w:r>
      <w:r w:rsidR="00BE112E">
        <w:rPr>
          <w:rFonts w:ascii="Times New Roman" w:hAnsi="Times New Roman" w:cs="Times New Roman"/>
          <w:sz w:val="24"/>
          <w:szCs w:val="24"/>
          <w:lang w:val="en-US"/>
        </w:rPr>
        <w:t>ntries, of which there are 33.</w:t>
      </w:r>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r w:rsidR="00BE112E">
        <w:rPr>
          <w:rFonts w:ascii="Times New Roman" w:hAnsi="Times New Roman" w:cs="Times New Roman"/>
          <w:sz w:val="24"/>
          <w:szCs w:val="24"/>
          <w:lang w:val="en-US"/>
        </w:rPr>
        <w:t>They are similar (on average) to Australia in ethnicity, cultural norms, demographics, GDP per capita, and the quality of their health care systems</w:t>
      </w:r>
    </w:p>
    <w:p w14:paraId="2981D81E" w14:textId="77777777" w:rsidR="0061614D" w:rsidRDefault="0061614D" w:rsidP="0061614D">
      <w:pPr>
        <w:spacing w:after="0" w:line="360" w:lineRule="auto"/>
        <w:jc w:val="both"/>
        <w:rPr>
          <w:rFonts w:ascii="Times New Roman" w:hAnsi="Times New Roman" w:cs="Times New Roman"/>
          <w:sz w:val="24"/>
          <w:szCs w:val="24"/>
          <w:lang w:val="en-US"/>
        </w:rPr>
      </w:pPr>
    </w:p>
    <w:p w14:paraId="754CC08D" w14:textId="77777777" w:rsidR="0061614D" w:rsidRDefault="005807F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AD71C8">
        <w:rPr>
          <w:rFonts w:ascii="Times New Roman" w:hAnsi="Times New Roman" w:cs="Times New Roman"/>
          <w:sz w:val="24"/>
          <w:szCs w:val="24"/>
          <w:lang w:val="en-US"/>
        </w:rPr>
        <w:t xml:space="preserve">using the Stringency Index, there is a choice of the </w:t>
      </w:r>
      <w:r>
        <w:rPr>
          <w:rFonts w:ascii="Times New Roman" w:hAnsi="Times New Roman" w:cs="Times New Roman"/>
          <w:sz w:val="24"/>
          <w:szCs w:val="24"/>
          <w:lang w:val="en-US"/>
        </w:rPr>
        <w:t xml:space="preserve">average </w:t>
      </w:r>
      <w:r w:rsidR="00AD71C8">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maximum values, </w:t>
      </w:r>
      <w:r w:rsidR="00AD71C8">
        <w:rPr>
          <w:rFonts w:ascii="Times New Roman" w:hAnsi="Times New Roman" w:cs="Times New Roman"/>
          <w:sz w:val="24"/>
          <w:szCs w:val="24"/>
          <w:lang w:val="en-US"/>
        </w:rPr>
        <w:t xml:space="preserve">and </w:t>
      </w:r>
      <w:r>
        <w:rPr>
          <w:rFonts w:ascii="Times New Roman" w:hAnsi="Times New Roman" w:cs="Times New Roman"/>
          <w:sz w:val="24"/>
          <w:szCs w:val="24"/>
          <w:lang w:val="en-US"/>
        </w:rPr>
        <w:t>both have merits.  T</w:t>
      </w:r>
      <w:r w:rsidR="00E470E5">
        <w:rPr>
          <w:rFonts w:ascii="Times New Roman" w:hAnsi="Times New Roman" w:cs="Times New Roman"/>
          <w:sz w:val="24"/>
          <w:szCs w:val="24"/>
          <w:lang w:val="en-US"/>
        </w:rPr>
        <w:t>he</w:t>
      </w:r>
      <w:r w:rsidR="00216E74">
        <w:rPr>
          <w:rFonts w:ascii="Times New Roman" w:hAnsi="Times New Roman" w:cs="Times New Roman"/>
          <w:sz w:val="24"/>
          <w:szCs w:val="24"/>
          <w:lang w:val="en-US"/>
        </w:rPr>
        <w:t xml:space="preserve"> maximum reflects only government policy on one day whilst the </w:t>
      </w:r>
      <w:r>
        <w:rPr>
          <w:rFonts w:ascii="Times New Roman" w:hAnsi="Times New Roman" w:cs="Times New Roman"/>
          <w:sz w:val="24"/>
          <w:szCs w:val="24"/>
          <w:lang w:val="en-US"/>
        </w:rPr>
        <w:t xml:space="preserve">average </w:t>
      </w:r>
      <w:r w:rsidR="00216E74">
        <w:rPr>
          <w:rFonts w:ascii="Times New Roman" w:hAnsi="Times New Roman" w:cs="Times New Roman"/>
          <w:sz w:val="24"/>
          <w:szCs w:val="24"/>
          <w:lang w:val="en-US"/>
        </w:rPr>
        <w:t xml:space="preserve">(crudely) </w:t>
      </w:r>
      <w:r w:rsidR="003C3AF9">
        <w:rPr>
          <w:rFonts w:ascii="Times New Roman" w:hAnsi="Times New Roman" w:cs="Times New Roman"/>
          <w:sz w:val="24"/>
          <w:szCs w:val="24"/>
          <w:lang w:val="en-US"/>
        </w:rPr>
        <w:t xml:space="preserve">takes account of </w:t>
      </w:r>
      <w:r w:rsidR="00216E74">
        <w:rPr>
          <w:rFonts w:ascii="Times New Roman" w:hAnsi="Times New Roman" w:cs="Times New Roman"/>
          <w:sz w:val="24"/>
          <w:szCs w:val="24"/>
          <w:lang w:val="en-US"/>
        </w:rPr>
        <w:t xml:space="preserve">it </w:t>
      </w:r>
      <w:r w:rsidR="003C3AF9">
        <w:rPr>
          <w:rFonts w:ascii="Times New Roman" w:hAnsi="Times New Roman" w:cs="Times New Roman"/>
          <w:sz w:val="24"/>
          <w:szCs w:val="24"/>
          <w:lang w:val="en-US"/>
        </w:rPr>
        <w:t>over the entire period of the crisis</w:t>
      </w:r>
      <w:r w:rsidR="006161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w:t>
      </w:r>
      <w:r w:rsidR="003C3AF9">
        <w:rPr>
          <w:rFonts w:ascii="Times New Roman" w:hAnsi="Times New Roman" w:cs="Times New Roman"/>
          <w:sz w:val="24"/>
          <w:szCs w:val="24"/>
          <w:lang w:val="en-US"/>
        </w:rPr>
        <w:t>a given average value could arise from a wide range of different policies</w:t>
      </w:r>
      <w:r>
        <w:rPr>
          <w:rFonts w:ascii="Times New Roman" w:hAnsi="Times New Roman" w:cs="Times New Roman"/>
          <w:sz w:val="24"/>
          <w:szCs w:val="24"/>
          <w:lang w:val="en-US"/>
        </w:rPr>
        <w:t xml:space="preserve">.  An extreme case of this would arise if one country adopted its maximum stringency index value of 100 on the first day, retained it for six weeks and then removed all restrictions because eradication had been achieved, whilst a second country maintained a stringency index value of 50 throughout the 12 weeks of the analysis.  Both would have an average Stringency of 50, but would have adopted entirely different policies.  </w:t>
      </w:r>
      <w:r w:rsidR="00C045D9">
        <w:rPr>
          <w:rFonts w:ascii="Times New Roman" w:hAnsi="Times New Roman" w:cs="Times New Roman"/>
          <w:sz w:val="24"/>
          <w:szCs w:val="24"/>
          <w:lang w:val="en-US"/>
        </w:rPr>
        <w:t xml:space="preserve">The maximum </w:t>
      </w:r>
      <w:r w:rsidR="0061614D">
        <w:rPr>
          <w:rFonts w:ascii="Times New Roman" w:hAnsi="Times New Roman" w:cs="Times New Roman"/>
          <w:sz w:val="24"/>
          <w:szCs w:val="24"/>
          <w:lang w:val="en-US"/>
        </w:rPr>
        <w:t xml:space="preserve">avoids </w:t>
      </w:r>
      <w:r>
        <w:rPr>
          <w:rFonts w:ascii="Times New Roman" w:hAnsi="Times New Roman" w:cs="Times New Roman"/>
          <w:sz w:val="24"/>
          <w:szCs w:val="24"/>
          <w:lang w:val="en-US"/>
        </w:rPr>
        <w:t xml:space="preserve">this problem.  It also avoids the </w:t>
      </w:r>
      <w:r w:rsidR="0061614D">
        <w:rPr>
          <w:rFonts w:ascii="Times New Roman" w:hAnsi="Times New Roman" w:cs="Times New Roman"/>
          <w:sz w:val="24"/>
          <w:szCs w:val="24"/>
          <w:lang w:val="en-US"/>
        </w:rPr>
        <w:t xml:space="preserve">problem that the average over the entire crisis period is affected by the post-peak death rate reductions in the index, which are likely to have been affected by the reduction in the death rate after the peak death rate point, which yields a reverse causality problem.  </w:t>
      </w:r>
    </w:p>
    <w:p w14:paraId="1C83D045" w14:textId="77777777" w:rsidR="005807FD" w:rsidRDefault="005807FD" w:rsidP="0061614D">
      <w:pPr>
        <w:spacing w:after="0" w:line="360" w:lineRule="auto"/>
        <w:jc w:val="both"/>
        <w:rPr>
          <w:rFonts w:ascii="Times New Roman" w:hAnsi="Times New Roman" w:cs="Times New Roman"/>
          <w:sz w:val="24"/>
          <w:szCs w:val="24"/>
          <w:lang w:val="en-US"/>
        </w:rPr>
      </w:pPr>
    </w:p>
    <w:p w14:paraId="07D9A20A"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Death rates are likely to be affected by many variables other than the severity of government restrictions, and it is desirable to include them.  I consider </w:t>
      </w:r>
    </w:p>
    <w:p w14:paraId="432A0B3C"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population density (higher values increase the transmission rate of the virus), </w:t>
      </w:r>
    </w:p>
    <w:p w14:paraId="3EFDE014"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2218C8">
        <w:rPr>
          <w:rFonts w:ascii="Times New Roman" w:hAnsi="Times New Roman" w:cs="Times New Roman"/>
          <w:sz w:val="24"/>
          <w:szCs w:val="24"/>
          <w:lang w:val="en-US"/>
        </w:rPr>
        <w:t xml:space="preserve">the date of the first death (in days after the first recorded death on 15 February in France), because later dates provide more time for people, doctors and their governments to learn from others and adjust their behavior, </w:t>
      </w:r>
      <w:r>
        <w:rPr>
          <w:rStyle w:val="FootnoteReference"/>
          <w:rFonts w:ascii="Times New Roman" w:hAnsi="Times New Roman" w:cs="Times New Roman"/>
          <w:sz w:val="24"/>
          <w:szCs w:val="24"/>
          <w:lang w:val="en-US"/>
        </w:rPr>
        <w:footnoteReference w:id="6"/>
      </w:r>
      <w:r w:rsidRPr="002218C8">
        <w:rPr>
          <w:rFonts w:ascii="Times New Roman" w:hAnsi="Times New Roman" w:cs="Times New Roman"/>
          <w:sz w:val="24"/>
          <w:szCs w:val="24"/>
          <w:lang w:val="en-US"/>
        </w:rPr>
        <w:t xml:space="preserve">  </w:t>
      </w:r>
    </w:p>
    <w:p w14:paraId="2C8A2C98" w14:textId="77777777" w:rsidR="0061614D" w:rsidRPr="002218C8"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2218C8">
        <w:rPr>
          <w:rFonts w:ascii="Times New Roman" w:hAnsi="Times New Roman" w:cs="Times New Roman"/>
          <w:sz w:val="24"/>
          <w:szCs w:val="24"/>
          <w:lang w:val="en-US"/>
        </w:rPr>
        <w:t>population (higher values provide a higher pool of virus targets before national borders constrict the movement of people and therefore the transmission of the virus),</w:t>
      </w:r>
    </w:p>
    <w:p w14:paraId="4BDD8814"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GDP per capita (as a proxy for the quality of the health care system), </w:t>
      </w:r>
    </w:p>
    <w:p w14:paraId="0CBA3E56"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lastRenderedPageBreak/>
        <w:t xml:space="preserve">the population proportion over 65 (higher values imply a larger proportion of the population in the high risk group), </w:t>
      </w:r>
    </w:p>
    <w:p w14:paraId="5FF61F44"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the average household size (higher values increase the pool of virus targets before household borders restrict interactions and therefore the transmission of the virus), and </w:t>
      </w:r>
    </w:p>
    <w:p w14:paraId="001A4C1F"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the number of nursing and elderly home beds per 100,000 of population (because </w:t>
      </w:r>
      <w:r>
        <w:rPr>
          <w:rFonts w:ascii="Times New Roman" w:hAnsi="Times New Roman" w:cs="Times New Roman"/>
          <w:sz w:val="24"/>
          <w:szCs w:val="24"/>
          <w:lang w:val="en-US"/>
        </w:rPr>
        <w:t xml:space="preserve">higher values </w:t>
      </w:r>
      <w:proofErr w:type="gramStart"/>
      <w:r>
        <w:rPr>
          <w:rFonts w:ascii="Times New Roman" w:hAnsi="Times New Roman" w:cs="Times New Roman"/>
          <w:sz w:val="24"/>
          <w:szCs w:val="24"/>
          <w:lang w:val="en-US"/>
        </w:rPr>
        <w:t>implies</w:t>
      </w:r>
      <w:proofErr w:type="gramEnd"/>
      <w:r>
        <w:rPr>
          <w:rFonts w:ascii="Times New Roman" w:hAnsi="Times New Roman" w:cs="Times New Roman"/>
          <w:sz w:val="24"/>
          <w:szCs w:val="24"/>
          <w:lang w:val="en-US"/>
        </w:rPr>
        <w:t xml:space="preserve"> a higher concentration in the high-risk group</w:t>
      </w:r>
      <w:r w:rsidRPr="00C625C3">
        <w:rPr>
          <w:rFonts w:ascii="Times New Roman" w:hAnsi="Times New Roman" w:cs="Times New Roman"/>
          <w:sz w:val="24"/>
          <w:szCs w:val="24"/>
          <w:lang w:val="en-US"/>
        </w:rPr>
        <w:t>, which increases or lowers the death rate depending upon the effectiveness of the quarantine procedures).</w:t>
      </w:r>
    </w:p>
    <w:p w14:paraId="0BE701A1" w14:textId="77777777" w:rsidR="0061614D" w:rsidRDefault="0061614D" w:rsidP="0061614D">
      <w:pPr>
        <w:pStyle w:val="ListParagraph"/>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Flu intensity in the last two flu seasons.</w:t>
      </w:r>
      <w:r>
        <w:rPr>
          <w:rStyle w:val="FootnoteReference"/>
          <w:rFonts w:ascii="Times New Roman" w:hAnsi="Times New Roman" w:cs="Times New Roman"/>
          <w:sz w:val="24"/>
          <w:szCs w:val="24"/>
          <w:lang w:val="en-US"/>
        </w:rPr>
        <w:footnoteReference w:id="7"/>
      </w:r>
      <w:r w:rsidRPr="00C625C3">
        <w:rPr>
          <w:rFonts w:ascii="Times New Roman" w:hAnsi="Times New Roman" w:cs="Times New Roman"/>
          <w:sz w:val="24"/>
          <w:szCs w:val="24"/>
          <w:lang w:val="en-US"/>
        </w:rPr>
        <w:t xml:space="preserve">  </w:t>
      </w:r>
    </w:p>
    <w:p w14:paraId="38363217" w14:textId="77777777" w:rsidR="0061614D" w:rsidRDefault="0061614D" w:rsidP="0061614D">
      <w:pPr>
        <w:pStyle w:val="ListParagraph"/>
        <w:spacing w:after="0" w:line="360" w:lineRule="auto"/>
        <w:ind w:left="0"/>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The first two variables are statistically significant, and sub</w:t>
      </w:r>
      <w:r>
        <w:rPr>
          <w:rFonts w:ascii="Times New Roman" w:hAnsi="Times New Roman" w:cs="Times New Roman"/>
          <w:sz w:val="24"/>
          <w:szCs w:val="24"/>
          <w:lang w:val="en-US"/>
        </w:rPr>
        <w:t xml:space="preserve">stantially raise the 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C625C3">
        <w:rPr>
          <w:rFonts w:ascii="Times New Roman" w:hAnsi="Times New Roman" w:cs="Times New Roman"/>
          <w:sz w:val="24"/>
          <w:szCs w:val="24"/>
          <w:lang w:val="en-US"/>
        </w:rPr>
        <w:t>, whilst the last five variables (added and tested separately) are not statistically significant and their inclu</w:t>
      </w:r>
      <w:r>
        <w:rPr>
          <w:rFonts w:ascii="Times New Roman" w:hAnsi="Times New Roman" w:cs="Times New Roman"/>
          <w:sz w:val="24"/>
          <w:szCs w:val="24"/>
          <w:lang w:val="en-US"/>
        </w:rPr>
        <w:t xml:space="preserve">sion each lowers the 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C625C3">
        <w:rPr>
          <w:rFonts w:ascii="Times New Roman" w:hAnsi="Times New Roman" w:cs="Times New Roman"/>
          <w:sz w:val="24"/>
          <w:szCs w:val="24"/>
          <w:lang w:val="en-US"/>
        </w:rPr>
        <w:t xml:space="preserve">.  I therefore retain only the first two variables.  </w:t>
      </w:r>
      <w:r>
        <w:rPr>
          <w:rFonts w:ascii="Times New Roman" w:hAnsi="Times New Roman" w:cs="Times New Roman"/>
          <w:sz w:val="24"/>
          <w:szCs w:val="24"/>
          <w:lang w:val="en-US"/>
        </w:rPr>
        <w:t xml:space="preserve">Regressing the </w:t>
      </w:r>
      <w:r w:rsidRPr="00C625C3">
        <w:rPr>
          <w:rFonts w:ascii="Times New Roman" w:hAnsi="Times New Roman" w:cs="Times New Roman"/>
          <w:sz w:val="24"/>
          <w:szCs w:val="24"/>
          <w:lang w:val="en-US"/>
        </w:rPr>
        <w:t>death rate per 1m (</w:t>
      </w:r>
      <w:r w:rsidRPr="00C625C3">
        <w:rPr>
          <w:rFonts w:ascii="Times New Roman" w:hAnsi="Times New Roman" w:cs="Times New Roman"/>
          <w:i/>
          <w:sz w:val="24"/>
          <w:szCs w:val="24"/>
          <w:lang w:val="en-US"/>
        </w:rPr>
        <w:t>D</w:t>
      </w:r>
      <w:r w:rsidRPr="00C625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up to 30 December </w:t>
      </w:r>
      <w:r w:rsidRPr="00C625C3">
        <w:rPr>
          <w:rFonts w:ascii="Times New Roman" w:hAnsi="Times New Roman" w:cs="Times New Roman"/>
          <w:sz w:val="24"/>
          <w:szCs w:val="24"/>
          <w:lang w:val="en-US"/>
        </w:rPr>
        <w:t>on the maximum Stringency Index value (</w:t>
      </w:r>
      <w:r w:rsidRPr="00C625C3">
        <w:rPr>
          <w:rFonts w:ascii="Times New Roman" w:hAnsi="Times New Roman" w:cs="Times New Roman"/>
          <w:i/>
          <w:sz w:val="24"/>
          <w:szCs w:val="24"/>
          <w:lang w:val="en-US"/>
        </w:rPr>
        <w:t>S</w:t>
      </w:r>
      <w:r w:rsidRPr="00C625C3">
        <w:rPr>
          <w:rFonts w:ascii="Times New Roman" w:hAnsi="Times New Roman" w:cs="Times New Roman"/>
          <w:sz w:val="24"/>
          <w:szCs w:val="24"/>
          <w:lang w:val="en-US"/>
        </w:rPr>
        <w:t>), the population density (</w:t>
      </w:r>
      <w:r w:rsidRPr="00C625C3">
        <w:rPr>
          <w:rFonts w:ascii="Times New Roman" w:hAnsi="Times New Roman" w:cs="Times New Roman"/>
          <w:i/>
          <w:sz w:val="24"/>
          <w:szCs w:val="24"/>
          <w:lang w:val="en-US"/>
        </w:rPr>
        <w:t>PD</w:t>
      </w:r>
      <w:r w:rsidRPr="00C625C3">
        <w:rPr>
          <w:rFonts w:ascii="Times New Roman" w:hAnsi="Times New Roman" w:cs="Times New Roman"/>
          <w:sz w:val="24"/>
          <w:szCs w:val="24"/>
          <w:lang w:val="en-US"/>
        </w:rPr>
        <w:t>, in millions per 1,000 square miles), and date of first death (</w:t>
      </w:r>
      <w:r w:rsidRPr="00C625C3">
        <w:rPr>
          <w:rFonts w:ascii="Times New Roman" w:hAnsi="Times New Roman" w:cs="Times New Roman"/>
          <w:i/>
          <w:sz w:val="24"/>
          <w:szCs w:val="24"/>
          <w:lang w:val="en-US"/>
        </w:rPr>
        <w:t>FD</w:t>
      </w:r>
      <w:r w:rsidRPr="00C625C3">
        <w:rPr>
          <w:rFonts w:ascii="Times New Roman" w:hAnsi="Times New Roman" w:cs="Times New Roman"/>
          <w:sz w:val="24"/>
          <w:szCs w:val="24"/>
          <w:lang w:val="en-US"/>
        </w:rPr>
        <w:t>, in days from 15 Februar</w:t>
      </w:r>
      <w:r>
        <w:rPr>
          <w:rFonts w:ascii="Times New Roman" w:hAnsi="Times New Roman" w:cs="Times New Roman"/>
          <w:sz w:val="24"/>
          <w:szCs w:val="24"/>
          <w:lang w:val="en-US"/>
        </w:rPr>
        <w:t>y) yields the following result:</w:t>
      </w:r>
    </w:p>
    <w:p w14:paraId="122C71D8" w14:textId="77777777" w:rsidR="0061614D" w:rsidRDefault="0061614D" w:rsidP="0061614D">
      <w:pPr>
        <w:pStyle w:val="ListParagraph"/>
        <w:spacing w:after="0" w:line="360" w:lineRule="auto"/>
        <w:ind w:left="0"/>
        <w:jc w:val="both"/>
        <w:rPr>
          <w:rFonts w:ascii="Times New Roman" w:hAnsi="Times New Roman" w:cs="Times New Roman"/>
          <w:sz w:val="24"/>
          <w:szCs w:val="24"/>
          <w:lang w:val="en-US"/>
        </w:rPr>
      </w:pPr>
    </w:p>
    <w:p w14:paraId="4E181953" w14:textId="77777777" w:rsidR="0061614D" w:rsidRDefault="0061614D" w:rsidP="0061614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D=273.9+7.34S+473.1PD-12.3FD                                     (1)</m:t>
          </m:r>
        </m:oMath>
      </m:oMathPara>
    </w:p>
    <w:p w14:paraId="0D90654A" w14:textId="77777777" w:rsidR="0061614D" w:rsidRDefault="0061614D" w:rsidP="0061614D">
      <w:pPr>
        <w:spacing w:after="0" w:line="360" w:lineRule="auto"/>
        <w:jc w:val="both"/>
        <w:rPr>
          <w:rFonts w:ascii="Times New Roman" w:hAnsi="Times New Roman" w:cs="Times New Roman"/>
          <w:sz w:val="24"/>
          <w:szCs w:val="24"/>
          <w:lang w:val="en-US"/>
        </w:rPr>
      </w:pPr>
    </w:p>
    <w:p w14:paraId="778A7D14"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is 0.29, and the </w:t>
      </w:r>
      <w:r w:rsidRPr="00E46250">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are 0.66, 0.27, 0.10 and </w:t>
      </w:r>
      <w:proofErr w:type="gramStart"/>
      <w:r>
        <w:rPr>
          <w:rFonts w:ascii="Times New Roman" w:hAnsi="Times New Roman" w:cs="Times New Roman"/>
          <w:sz w:val="24"/>
          <w:szCs w:val="24"/>
          <w:lang w:val="en-US"/>
        </w:rPr>
        <w:t>0.10</w:t>
      </w:r>
      <w:proofErr w:type="gramEnd"/>
      <w:r>
        <w:rPr>
          <w:rFonts w:ascii="Times New Roman" w:hAnsi="Times New Roman" w:cs="Times New Roman"/>
          <w:sz w:val="24"/>
          <w:szCs w:val="24"/>
          <w:lang w:val="en-US"/>
        </w:rPr>
        <w:t xml:space="preserve"> respectively.  The coefficient on </w:t>
      </w:r>
      <w:r w:rsidRPr="00BB19A2">
        <w:rPr>
          <w:rFonts w:ascii="Times New Roman" w:hAnsi="Times New Roman" w:cs="Times New Roman"/>
          <w:i/>
          <w:sz w:val="24"/>
          <w:szCs w:val="24"/>
          <w:lang w:val="en-US"/>
        </w:rPr>
        <w:t>S</w:t>
      </w:r>
      <w:r>
        <w:rPr>
          <w:rFonts w:ascii="Times New Roman" w:hAnsi="Times New Roman" w:cs="Times New Roman"/>
          <w:sz w:val="24"/>
          <w:szCs w:val="24"/>
          <w:lang w:val="en-US"/>
        </w:rPr>
        <w:t xml:space="preserve"> is statistically insignificant and the sign on it is ‘wrong’ (positive rather than negative).</w:t>
      </w:r>
      <w:r w:rsidR="00AC6DDB">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Even using the lower bound on the 95% CI for </w:t>
      </w:r>
      <w:r w:rsidRPr="004C0075">
        <w:rPr>
          <w:rFonts w:ascii="Times New Roman" w:hAnsi="Times New Roman" w:cs="Times New Roman"/>
          <w:i/>
          <w:sz w:val="24"/>
          <w:szCs w:val="24"/>
          <w:lang w:val="en-US"/>
        </w:rPr>
        <w:t>S</w:t>
      </w:r>
      <w:r>
        <w:rPr>
          <w:rFonts w:ascii="Times New Roman" w:hAnsi="Times New Roman" w:cs="Times New Roman"/>
          <w:sz w:val="24"/>
          <w:szCs w:val="24"/>
          <w:lang w:val="en-US"/>
        </w:rPr>
        <w:t xml:space="preserve"> of -6.05, the expected increase in a country’s death toll from moving from the most restrictive policy (Bosnia with </w:t>
      </w:r>
      <w:r w:rsidRPr="00F64F32">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to the least restrictive policy (Iceland with </w:t>
      </w:r>
      <w:r w:rsidRPr="00F64F32">
        <w:rPr>
          <w:rFonts w:ascii="Times New Roman" w:hAnsi="Times New Roman" w:cs="Times New Roman"/>
          <w:i/>
          <w:sz w:val="24"/>
          <w:szCs w:val="24"/>
          <w:lang w:val="en-US"/>
        </w:rPr>
        <w:t>S</w:t>
      </w:r>
      <w:r>
        <w:rPr>
          <w:rFonts w:ascii="Times New Roman" w:hAnsi="Times New Roman" w:cs="Times New Roman"/>
          <w:sz w:val="24"/>
          <w:szCs w:val="24"/>
          <w:lang w:val="en-US"/>
        </w:rPr>
        <w:t xml:space="preserve"> = 54) would be to raise its death rate by only </w:t>
      </w:r>
      <w:r>
        <w:rPr>
          <w:rFonts w:ascii="Times New Roman" w:hAnsi="Times New Roman" w:cs="Times New Roman"/>
          <w:sz w:val="24"/>
          <w:szCs w:val="24"/>
          <w:lang w:val="en-US"/>
        </w:rPr>
        <w:lastRenderedPageBreak/>
        <w:t xml:space="preserve">6.05*(100 – 54) = 278 per 1m of population.  So, the evidence for government restrictions substantially reducing the death rate is minimal.  </w:t>
      </w:r>
    </w:p>
    <w:p w14:paraId="16ED671F" w14:textId="77777777" w:rsidR="0061614D" w:rsidRDefault="0061614D" w:rsidP="0061614D">
      <w:pPr>
        <w:spacing w:after="0" w:line="360" w:lineRule="auto"/>
        <w:jc w:val="both"/>
        <w:rPr>
          <w:rFonts w:ascii="Times New Roman" w:hAnsi="Times New Roman" w:cs="Times New Roman"/>
          <w:sz w:val="24"/>
          <w:szCs w:val="24"/>
          <w:lang w:val="en-US"/>
        </w:rPr>
      </w:pPr>
    </w:p>
    <w:p w14:paraId="2C99D7AB"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440992">
        <w:rPr>
          <w:rFonts w:ascii="Times New Roman" w:hAnsi="Times New Roman" w:cs="Times New Roman"/>
          <w:sz w:val="24"/>
          <w:szCs w:val="24"/>
          <w:lang w:val="en-US"/>
        </w:rPr>
        <w:t xml:space="preserve">result </w:t>
      </w:r>
      <w:r>
        <w:rPr>
          <w:rFonts w:ascii="Times New Roman" w:hAnsi="Times New Roman" w:cs="Times New Roman"/>
          <w:sz w:val="24"/>
          <w:szCs w:val="24"/>
          <w:lang w:val="en-US"/>
        </w:rPr>
        <w:t xml:space="preserve">may seem counterintuitive, but explanations are available.  </w:t>
      </w:r>
      <w:r w:rsidR="00353D25">
        <w:rPr>
          <w:rFonts w:ascii="Times New Roman" w:hAnsi="Times New Roman" w:cs="Times New Roman"/>
          <w:sz w:val="24"/>
          <w:szCs w:val="24"/>
          <w:lang w:val="en-US"/>
        </w:rPr>
        <w:t xml:space="preserve">One possibility is that reverse causality applies, i.e., the choice of policy is influenced by the death rate as well as the death rate being affected by the policy choice.  The Appendix investigates this possibility and concludes that it does not operate.  Another </w:t>
      </w:r>
      <w:r>
        <w:rPr>
          <w:rFonts w:ascii="Times New Roman" w:hAnsi="Times New Roman" w:cs="Times New Roman"/>
          <w:sz w:val="24"/>
          <w:szCs w:val="24"/>
          <w:lang w:val="en-US"/>
        </w:rPr>
        <w:t xml:space="preserve">possibility is that, even without government restrictions, people will take actions to lower their risks in a pandemic and the incremental effect of government actions may then be too little to be statistically significant.  A second possibility is that lockdowns will in some cases increase the risk of transmission to high-risk individuals, and this at least partly offsets the reduction in risks achieved in other ways.  For example, lockdowns will have caused some young people to return to live with their older parents, perhaps because of the loss of their job or closure of the university they were attending, and if already infected to thereby infect their parents, who are at much greater risk of death.  A third possibility is that some of the European lockdowns were not instituted quickly enough to be effective, and all of those that were instituted quickly enough were relaxed before eradication had been achieved (because their land borders were too porous to achieve eradication) leading to a resurgence in cases when the lockdowns were relaxed.  </w:t>
      </w:r>
    </w:p>
    <w:p w14:paraId="24F398EF" w14:textId="77777777" w:rsidR="0061614D" w:rsidRDefault="0061614D" w:rsidP="0061614D">
      <w:pPr>
        <w:spacing w:after="0" w:line="360" w:lineRule="auto"/>
        <w:jc w:val="both"/>
        <w:rPr>
          <w:rFonts w:ascii="Times New Roman" w:hAnsi="Times New Roman" w:cs="Times New Roman"/>
          <w:sz w:val="24"/>
          <w:szCs w:val="24"/>
          <w:lang w:val="en-US"/>
        </w:rPr>
      </w:pPr>
    </w:p>
    <w:p w14:paraId="303ECC30"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third possibility is very relevant to </w:t>
      </w:r>
      <w:r w:rsidR="00B15009">
        <w:rPr>
          <w:rFonts w:ascii="Times New Roman" w:hAnsi="Times New Roman" w:cs="Times New Roman"/>
          <w:sz w:val="24"/>
          <w:szCs w:val="24"/>
          <w:lang w:val="en-US"/>
        </w:rPr>
        <w:t>Australia</w:t>
      </w:r>
      <w:r>
        <w:rPr>
          <w:rFonts w:ascii="Times New Roman" w:hAnsi="Times New Roman" w:cs="Times New Roman"/>
          <w:sz w:val="24"/>
          <w:szCs w:val="24"/>
          <w:lang w:val="en-US"/>
        </w:rPr>
        <w:t xml:space="preserve">, because </w:t>
      </w:r>
      <w:r w:rsidR="00B15009">
        <w:rPr>
          <w:rFonts w:ascii="Times New Roman" w:hAnsi="Times New Roman" w:cs="Times New Roman"/>
          <w:sz w:val="24"/>
          <w:szCs w:val="24"/>
          <w:lang w:val="en-US"/>
        </w:rPr>
        <w:t>its lockdown strategy was successful</w:t>
      </w:r>
      <w:r w:rsidR="00440992">
        <w:rPr>
          <w:rFonts w:ascii="Times New Roman" w:hAnsi="Times New Roman" w:cs="Times New Roman"/>
          <w:sz w:val="24"/>
          <w:szCs w:val="24"/>
          <w:lang w:val="en-US"/>
        </w:rPr>
        <w:t xml:space="preserve"> in epidemiological terms</w:t>
      </w:r>
      <w:r>
        <w:rPr>
          <w:rFonts w:ascii="Times New Roman" w:hAnsi="Times New Roman" w:cs="Times New Roman"/>
          <w:sz w:val="24"/>
          <w:szCs w:val="24"/>
          <w:lang w:val="en-US"/>
        </w:rPr>
        <w:t xml:space="preserve">, i.e., </w:t>
      </w:r>
      <w:r w:rsidR="00B15009">
        <w:rPr>
          <w:rFonts w:ascii="Times New Roman" w:hAnsi="Times New Roman" w:cs="Times New Roman"/>
          <w:sz w:val="24"/>
          <w:szCs w:val="24"/>
          <w:lang w:val="en-US"/>
        </w:rPr>
        <w:t xml:space="preserve">the two major </w:t>
      </w:r>
      <w:r>
        <w:rPr>
          <w:rFonts w:ascii="Times New Roman" w:hAnsi="Times New Roman" w:cs="Times New Roman"/>
          <w:sz w:val="24"/>
          <w:szCs w:val="24"/>
          <w:lang w:val="en-US"/>
        </w:rPr>
        <w:t xml:space="preserve">outbreaks were </w:t>
      </w:r>
      <w:r w:rsidR="00440992">
        <w:rPr>
          <w:rFonts w:ascii="Times New Roman" w:hAnsi="Times New Roman" w:cs="Times New Roman"/>
          <w:sz w:val="24"/>
          <w:szCs w:val="24"/>
          <w:lang w:val="en-US"/>
        </w:rPr>
        <w:t>suppressed</w:t>
      </w:r>
      <w:r>
        <w:rPr>
          <w:rFonts w:ascii="Times New Roman" w:hAnsi="Times New Roman" w:cs="Times New Roman"/>
          <w:sz w:val="24"/>
          <w:szCs w:val="24"/>
          <w:lang w:val="en-US"/>
        </w:rPr>
        <w:t xml:space="preserve">, leading to </w:t>
      </w:r>
      <w:r w:rsidR="00B15009">
        <w:rPr>
          <w:rFonts w:ascii="Times New Roman" w:hAnsi="Times New Roman" w:cs="Times New Roman"/>
          <w:sz w:val="24"/>
          <w:szCs w:val="24"/>
          <w:lang w:val="en-US"/>
        </w:rPr>
        <w:t xml:space="preserve">a very low </w:t>
      </w:r>
      <w:r>
        <w:rPr>
          <w:rFonts w:ascii="Times New Roman" w:hAnsi="Times New Roman" w:cs="Times New Roman"/>
          <w:sz w:val="24"/>
          <w:szCs w:val="24"/>
          <w:lang w:val="en-US"/>
        </w:rPr>
        <w:t>death rate</w:t>
      </w:r>
      <w:r w:rsidR="00B15009">
        <w:rPr>
          <w:rFonts w:ascii="Times New Roman" w:hAnsi="Times New Roman" w:cs="Times New Roman"/>
          <w:sz w:val="24"/>
          <w:szCs w:val="24"/>
          <w:lang w:val="en-US"/>
        </w:rPr>
        <w:t xml:space="preserve"> (of only 35</w:t>
      </w:r>
      <w:r>
        <w:rPr>
          <w:rFonts w:ascii="Times New Roman" w:hAnsi="Times New Roman" w:cs="Times New Roman"/>
          <w:sz w:val="24"/>
          <w:szCs w:val="24"/>
          <w:lang w:val="en-US"/>
        </w:rPr>
        <w:t xml:space="preserve"> per 1m).  By contrast, European countries can be classified as having experienced </w:t>
      </w:r>
    </w:p>
    <w:p w14:paraId="742C0C39" w14:textId="77777777" w:rsidR="0061614D" w:rsidRDefault="0061614D" w:rsidP="0061614D">
      <w:pPr>
        <w:pStyle w:val="ListParagraph"/>
        <w:numPr>
          <w:ilvl w:val="0"/>
          <w:numId w:val="8"/>
        </w:numPr>
        <w:spacing w:after="0" w:line="360" w:lineRule="auto"/>
        <w:jc w:val="both"/>
        <w:rPr>
          <w:rFonts w:ascii="Times New Roman" w:hAnsi="Times New Roman" w:cs="Times New Roman"/>
          <w:sz w:val="24"/>
          <w:szCs w:val="24"/>
          <w:lang w:val="en-US"/>
        </w:rPr>
      </w:pPr>
      <w:r w:rsidRPr="00FF4987">
        <w:rPr>
          <w:rFonts w:ascii="Times New Roman" w:hAnsi="Times New Roman" w:cs="Times New Roman"/>
          <w:sz w:val="24"/>
          <w:szCs w:val="24"/>
          <w:lang w:val="en-US"/>
        </w:rPr>
        <w:t xml:space="preserve">mitigation </w:t>
      </w:r>
      <w:r w:rsidR="00B15009">
        <w:rPr>
          <w:rFonts w:ascii="Times New Roman" w:hAnsi="Times New Roman" w:cs="Times New Roman"/>
          <w:sz w:val="24"/>
          <w:szCs w:val="24"/>
          <w:lang w:val="en-US"/>
        </w:rPr>
        <w:t xml:space="preserve">strategies </w:t>
      </w:r>
      <w:r w:rsidRPr="00FF4987">
        <w:rPr>
          <w:rFonts w:ascii="Times New Roman" w:hAnsi="Times New Roman" w:cs="Times New Roman"/>
          <w:sz w:val="24"/>
          <w:szCs w:val="24"/>
          <w:lang w:val="en-US"/>
        </w:rPr>
        <w:t>(Finland, Iceland, Latvia, and S</w:t>
      </w:r>
      <w:r>
        <w:rPr>
          <w:rFonts w:ascii="Times New Roman" w:hAnsi="Times New Roman" w:cs="Times New Roman"/>
          <w:sz w:val="24"/>
          <w:szCs w:val="24"/>
          <w:lang w:val="en-US"/>
        </w:rPr>
        <w:t>we</w:t>
      </w:r>
      <w:r w:rsidRPr="00FF4987">
        <w:rPr>
          <w:rFonts w:ascii="Times New Roman" w:hAnsi="Times New Roman" w:cs="Times New Roman"/>
          <w:sz w:val="24"/>
          <w:szCs w:val="24"/>
          <w:lang w:val="en-US"/>
        </w:rPr>
        <w:t xml:space="preserve">den, with death rates ranging from 82 to 861 per 1m up to 30 December), </w:t>
      </w:r>
      <w:r>
        <w:rPr>
          <w:rFonts w:ascii="Times New Roman" w:hAnsi="Times New Roman" w:cs="Times New Roman"/>
          <w:sz w:val="24"/>
          <w:szCs w:val="24"/>
          <w:lang w:val="en-US"/>
        </w:rPr>
        <w:t>or</w:t>
      </w:r>
    </w:p>
    <w:p w14:paraId="58DDEF26" w14:textId="77777777" w:rsidR="0061614D" w:rsidRDefault="00B15009" w:rsidP="0061614D">
      <w:pPr>
        <w:pStyle w:val="ListParagraph"/>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lockdown strategies</w:t>
      </w:r>
      <w:r w:rsidR="0061614D" w:rsidRPr="00FF4987">
        <w:rPr>
          <w:rFonts w:ascii="Times New Roman" w:hAnsi="Times New Roman" w:cs="Times New Roman"/>
          <w:sz w:val="24"/>
          <w:szCs w:val="24"/>
          <w:lang w:val="en-US"/>
        </w:rPr>
        <w:t xml:space="preserve"> that </w:t>
      </w:r>
      <w:r>
        <w:rPr>
          <w:rFonts w:ascii="Times New Roman" w:hAnsi="Times New Roman" w:cs="Times New Roman"/>
          <w:sz w:val="24"/>
          <w:szCs w:val="24"/>
          <w:lang w:val="en-US"/>
        </w:rPr>
        <w:t>failed to suppress the virus</w:t>
      </w:r>
      <w:r w:rsidR="0061614D">
        <w:rPr>
          <w:rFonts w:ascii="Times New Roman" w:hAnsi="Times New Roman" w:cs="Times New Roman"/>
          <w:sz w:val="24"/>
          <w:szCs w:val="24"/>
          <w:lang w:val="en-US"/>
        </w:rPr>
        <w:t xml:space="preserve"> (the rest, with death rates ranging from 80 to 1,656 per 1m up to 30 December).</w:t>
      </w:r>
      <w:r w:rsidR="0061614D" w:rsidRPr="00FF4987">
        <w:rPr>
          <w:rFonts w:ascii="Times New Roman" w:hAnsi="Times New Roman" w:cs="Times New Roman"/>
          <w:sz w:val="24"/>
          <w:szCs w:val="24"/>
          <w:lang w:val="en-US"/>
        </w:rPr>
        <w:t xml:space="preserve"> </w:t>
      </w:r>
    </w:p>
    <w:p w14:paraId="552C7C2A" w14:textId="77777777" w:rsidR="0061614D" w:rsidRPr="00FF4987" w:rsidRDefault="0061614D" w:rsidP="0061614D">
      <w:pPr>
        <w:pStyle w:val="ListParagraph"/>
        <w:spacing w:after="0" w:line="360" w:lineRule="auto"/>
        <w:ind w:left="0"/>
        <w:jc w:val="both"/>
        <w:rPr>
          <w:rFonts w:ascii="Times New Roman" w:hAnsi="Times New Roman" w:cs="Times New Roman"/>
          <w:sz w:val="24"/>
          <w:szCs w:val="24"/>
          <w:lang w:val="en-US"/>
        </w:rPr>
      </w:pPr>
      <w:r w:rsidRPr="00FF4987">
        <w:rPr>
          <w:rFonts w:ascii="Times New Roman" w:hAnsi="Times New Roman" w:cs="Times New Roman"/>
          <w:sz w:val="24"/>
          <w:szCs w:val="24"/>
          <w:lang w:val="en-US"/>
        </w:rPr>
        <w:t xml:space="preserve">Because the European data contains </w:t>
      </w:r>
      <w:r w:rsidR="00931D6B">
        <w:rPr>
          <w:rFonts w:ascii="Times New Roman" w:hAnsi="Times New Roman" w:cs="Times New Roman"/>
          <w:sz w:val="24"/>
          <w:szCs w:val="24"/>
          <w:lang w:val="en-US"/>
        </w:rPr>
        <w:t xml:space="preserve">only </w:t>
      </w:r>
      <w:r w:rsidRPr="00FF4987">
        <w:rPr>
          <w:rFonts w:ascii="Times New Roman" w:hAnsi="Times New Roman" w:cs="Times New Roman"/>
          <w:sz w:val="24"/>
          <w:szCs w:val="24"/>
          <w:lang w:val="en-US"/>
        </w:rPr>
        <w:t xml:space="preserve">cases of </w:t>
      </w:r>
      <w:r>
        <w:rPr>
          <w:rFonts w:ascii="Times New Roman" w:hAnsi="Times New Roman" w:cs="Times New Roman"/>
          <w:sz w:val="24"/>
          <w:szCs w:val="24"/>
          <w:lang w:val="en-US"/>
        </w:rPr>
        <w:t>these two types</w:t>
      </w:r>
      <w:r w:rsidRPr="00FF4987">
        <w:rPr>
          <w:rFonts w:ascii="Times New Roman" w:hAnsi="Times New Roman" w:cs="Times New Roman"/>
          <w:sz w:val="24"/>
          <w:szCs w:val="24"/>
          <w:lang w:val="en-US"/>
        </w:rPr>
        <w:t xml:space="preserve">, it does not provide an estimate of the death rate difference between </w:t>
      </w:r>
      <w:r>
        <w:rPr>
          <w:rFonts w:ascii="Times New Roman" w:hAnsi="Times New Roman" w:cs="Times New Roman"/>
          <w:sz w:val="24"/>
          <w:szCs w:val="24"/>
          <w:lang w:val="en-US"/>
        </w:rPr>
        <w:t xml:space="preserve">a </w:t>
      </w:r>
      <w:r w:rsidRPr="00FF4987">
        <w:rPr>
          <w:rFonts w:ascii="Times New Roman" w:hAnsi="Times New Roman" w:cs="Times New Roman"/>
          <w:sz w:val="24"/>
          <w:szCs w:val="24"/>
          <w:lang w:val="en-US"/>
        </w:rPr>
        <w:t xml:space="preserve">lockdown </w:t>
      </w:r>
      <w:r w:rsidR="00B15009">
        <w:rPr>
          <w:rFonts w:ascii="Times New Roman" w:hAnsi="Times New Roman" w:cs="Times New Roman"/>
          <w:sz w:val="24"/>
          <w:szCs w:val="24"/>
          <w:lang w:val="en-US"/>
        </w:rPr>
        <w:t xml:space="preserve">strategy </w:t>
      </w:r>
      <w:r w:rsidRPr="00FF4987">
        <w:rPr>
          <w:rFonts w:ascii="Times New Roman" w:hAnsi="Times New Roman" w:cs="Times New Roman"/>
          <w:sz w:val="24"/>
          <w:szCs w:val="24"/>
          <w:lang w:val="en-US"/>
        </w:rPr>
        <w:t xml:space="preserve">that substantially </w:t>
      </w:r>
      <w:r w:rsidR="00B15009">
        <w:rPr>
          <w:rFonts w:ascii="Times New Roman" w:hAnsi="Times New Roman" w:cs="Times New Roman"/>
          <w:sz w:val="24"/>
          <w:szCs w:val="24"/>
          <w:lang w:val="en-US"/>
        </w:rPr>
        <w:t>succeeded</w:t>
      </w:r>
      <w:r w:rsidR="006B00B5">
        <w:rPr>
          <w:rFonts w:ascii="Times New Roman" w:hAnsi="Times New Roman" w:cs="Times New Roman"/>
          <w:sz w:val="24"/>
          <w:szCs w:val="24"/>
          <w:lang w:val="en-US"/>
        </w:rPr>
        <w:t xml:space="preserve"> and mitigation</w:t>
      </w:r>
      <w:r w:rsidRPr="00FF4987">
        <w:rPr>
          <w:rFonts w:ascii="Times New Roman" w:hAnsi="Times New Roman" w:cs="Times New Roman"/>
          <w:sz w:val="24"/>
          <w:szCs w:val="24"/>
          <w:lang w:val="en-US"/>
        </w:rPr>
        <w:t xml:space="preserve">, and this differential is required for </w:t>
      </w:r>
      <w:r w:rsidR="00F879D5">
        <w:rPr>
          <w:rFonts w:ascii="Times New Roman" w:hAnsi="Times New Roman" w:cs="Times New Roman"/>
          <w:sz w:val="24"/>
          <w:szCs w:val="24"/>
          <w:lang w:val="en-US"/>
        </w:rPr>
        <w:t>Australia</w:t>
      </w:r>
      <w:r w:rsidRPr="00FF4987">
        <w:rPr>
          <w:rFonts w:ascii="Times New Roman" w:hAnsi="Times New Roman" w:cs="Times New Roman"/>
          <w:sz w:val="24"/>
          <w:szCs w:val="24"/>
          <w:lang w:val="en-US"/>
        </w:rPr>
        <w:t xml:space="preserve">.  Accordingly, the coefficient on </w:t>
      </w:r>
      <w:r w:rsidRPr="00FF4987">
        <w:rPr>
          <w:rFonts w:ascii="Times New Roman" w:hAnsi="Times New Roman" w:cs="Times New Roman"/>
          <w:i/>
          <w:sz w:val="24"/>
          <w:szCs w:val="24"/>
          <w:lang w:val="en-US"/>
        </w:rPr>
        <w:t>S</w:t>
      </w:r>
      <w:r w:rsidR="000C219B">
        <w:rPr>
          <w:rFonts w:ascii="Times New Roman" w:hAnsi="Times New Roman" w:cs="Times New Roman"/>
          <w:sz w:val="24"/>
          <w:szCs w:val="24"/>
          <w:lang w:val="en-US"/>
        </w:rPr>
        <w:t xml:space="preserve"> in equation (1</w:t>
      </w:r>
      <w:r w:rsidRPr="00FF4987">
        <w:rPr>
          <w:rFonts w:ascii="Times New Roman" w:hAnsi="Times New Roman" w:cs="Times New Roman"/>
          <w:sz w:val="24"/>
          <w:szCs w:val="24"/>
          <w:lang w:val="en-US"/>
        </w:rPr>
        <w:t xml:space="preserve">) is not useful for </w:t>
      </w:r>
      <w:r w:rsidR="000C219B">
        <w:rPr>
          <w:rFonts w:ascii="Times New Roman" w:hAnsi="Times New Roman" w:cs="Times New Roman"/>
          <w:sz w:val="24"/>
          <w:szCs w:val="24"/>
          <w:lang w:val="en-US"/>
        </w:rPr>
        <w:t>Australia</w:t>
      </w:r>
      <w:r w:rsidRPr="00FF4987">
        <w:rPr>
          <w:rFonts w:ascii="Times New Roman" w:hAnsi="Times New Roman" w:cs="Times New Roman"/>
          <w:sz w:val="24"/>
          <w:szCs w:val="24"/>
          <w:lang w:val="en-US"/>
        </w:rPr>
        <w:t>.  Accordingly, a different approach is required, as follows.</w:t>
      </w:r>
    </w:p>
    <w:p w14:paraId="26A43EA9" w14:textId="77777777" w:rsidR="0061614D" w:rsidRDefault="0061614D" w:rsidP="0061614D">
      <w:pPr>
        <w:spacing w:after="0" w:line="360" w:lineRule="auto"/>
        <w:jc w:val="both"/>
        <w:rPr>
          <w:rFonts w:ascii="Times New Roman" w:hAnsi="Times New Roman" w:cs="Times New Roman"/>
          <w:sz w:val="24"/>
          <w:szCs w:val="24"/>
          <w:lang w:val="en-US"/>
        </w:rPr>
      </w:pPr>
    </w:p>
    <w:p w14:paraId="0604A65A" w14:textId="77777777" w:rsidR="00F879D5"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Since the evidence presented above is that lockdowns were not effective in Europe it follows that the European data is equivalent to that from a set of countries that pursued mitigation.  So, an estimate of the </w:t>
      </w:r>
      <w:r w:rsidR="00F879D5">
        <w:rPr>
          <w:rFonts w:ascii="Times New Roman" w:hAnsi="Times New Roman" w:cs="Times New Roman"/>
          <w:sz w:val="24"/>
          <w:szCs w:val="24"/>
          <w:lang w:val="en-US"/>
        </w:rPr>
        <w:t xml:space="preserve">Australian </w:t>
      </w:r>
      <w:r>
        <w:rPr>
          <w:rFonts w:ascii="Times New Roman" w:hAnsi="Times New Roman" w:cs="Times New Roman"/>
          <w:sz w:val="24"/>
          <w:szCs w:val="24"/>
          <w:lang w:val="en-US"/>
        </w:rPr>
        <w:t>death rate under mitigation would be the average European death rate (680 per 1m as at 30 December), corrected for differences in variables that are statistically significant in explaining the death rate.  For Europe, these are population density</w:t>
      </w:r>
      <w:r w:rsidR="00C938FB">
        <w:rPr>
          <w:rFonts w:ascii="Times New Roman" w:hAnsi="Times New Roman" w:cs="Times New Roman"/>
          <w:sz w:val="24"/>
          <w:szCs w:val="24"/>
          <w:lang w:val="en-US"/>
        </w:rPr>
        <w:t xml:space="preserve"> (</w:t>
      </w:r>
      <w:r w:rsidR="00C938FB" w:rsidRPr="00C938FB">
        <w:rPr>
          <w:rFonts w:ascii="Times New Roman" w:hAnsi="Times New Roman" w:cs="Times New Roman"/>
          <w:i/>
          <w:sz w:val="24"/>
          <w:szCs w:val="24"/>
          <w:lang w:val="en-US"/>
        </w:rPr>
        <w:t>PD</w:t>
      </w:r>
      <w:r w:rsidR="00C938FB">
        <w:rPr>
          <w:rFonts w:ascii="Times New Roman" w:hAnsi="Times New Roman" w:cs="Times New Roman"/>
          <w:sz w:val="24"/>
          <w:szCs w:val="24"/>
          <w:lang w:val="en-US"/>
        </w:rPr>
        <w:t>)</w:t>
      </w:r>
      <w:r>
        <w:rPr>
          <w:rFonts w:ascii="Times New Roman" w:hAnsi="Times New Roman" w:cs="Times New Roman"/>
          <w:sz w:val="24"/>
          <w:szCs w:val="24"/>
          <w:lang w:val="en-US"/>
        </w:rPr>
        <w:t xml:space="preserve"> and date of first death</w:t>
      </w:r>
      <w:r w:rsidR="00C938FB">
        <w:rPr>
          <w:rFonts w:ascii="Times New Roman" w:hAnsi="Times New Roman" w:cs="Times New Roman"/>
          <w:sz w:val="24"/>
          <w:szCs w:val="24"/>
          <w:lang w:val="en-US"/>
        </w:rPr>
        <w:t xml:space="preserve"> (</w:t>
      </w:r>
      <w:r w:rsidR="00C938FB" w:rsidRPr="00C938FB">
        <w:rPr>
          <w:rFonts w:ascii="Times New Roman" w:hAnsi="Times New Roman" w:cs="Times New Roman"/>
          <w:i/>
          <w:sz w:val="24"/>
          <w:szCs w:val="24"/>
          <w:lang w:val="en-US"/>
        </w:rPr>
        <w:t>FD</w:t>
      </w:r>
      <w:r w:rsidR="00C938FB">
        <w:rPr>
          <w:rFonts w:ascii="Times New Roman" w:hAnsi="Times New Roman" w:cs="Times New Roman"/>
          <w:sz w:val="24"/>
          <w:szCs w:val="24"/>
          <w:lang w:val="en-US"/>
        </w:rPr>
        <w:t>)</w:t>
      </w:r>
      <w:r>
        <w:rPr>
          <w:rFonts w:ascii="Times New Roman" w:hAnsi="Times New Roman" w:cs="Times New Roman"/>
          <w:sz w:val="24"/>
          <w:szCs w:val="24"/>
          <w:lang w:val="en-US"/>
        </w:rPr>
        <w:t>, and the resulting model using death rate data to 30 December is</w:t>
      </w:r>
    </w:p>
    <w:p w14:paraId="7B6E6CB6" w14:textId="77777777" w:rsidR="0061614D" w:rsidRDefault="0061614D" w:rsidP="0061614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D=887+497PD-12.9FD                                              (2)</m:t>
          </m:r>
        </m:oMath>
      </m:oMathPara>
    </w:p>
    <w:p w14:paraId="564D6DCA" w14:textId="77777777" w:rsidR="0061614D" w:rsidRDefault="0061614D" w:rsidP="0061614D">
      <w:pPr>
        <w:spacing w:after="0" w:line="360" w:lineRule="auto"/>
        <w:jc w:val="center"/>
        <w:rPr>
          <w:rFonts w:ascii="Times New Roman" w:hAnsi="Times New Roman" w:cs="Times New Roman"/>
          <w:sz w:val="24"/>
          <w:szCs w:val="24"/>
          <w:lang w:val="en-US"/>
        </w:rPr>
      </w:pPr>
    </w:p>
    <w:p w14:paraId="7379B8F8"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is 0.26 and the </w:t>
      </w:r>
      <w:r w:rsidRPr="00ED0A4D">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on the coefficients are 0.002, 0.09 and </w:t>
      </w:r>
      <w:proofErr w:type="gramStart"/>
      <w:r>
        <w:rPr>
          <w:rFonts w:ascii="Times New Roman" w:hAnsi="Times New Roman" w:cs="Times New Roman"/>
          <w:sz w:val="24"/>
          <w:szCs w:val="24"/>
          <w:lang w:val="en-US"/>
        </w:rPr>
        <w:t>0.09</w:t>
      </w:r>
      <w:proofErr w:type="gramEnd"/>
      <w:r>
        <w:rPr>
          <w:rFonts w:ascii="Times New Roman" w:hAnsi="Times New Roman" w:cs="Times New Roman"/>
          <w:sz w:val="24"/>
          <w:szCs w:val="24"/>
          <w:lang w:val="en-US"/>
        </w:rPr>
        <w:t xml:space="preserve"> respectively.  Substitution of </w:t>
      </w:r>
      <w:r w:rsidR="00F879D5">
        <w:rPr>
          <w:rFonts w:ascii="Times New Roman" w:hAnsi="Times New Roman" w:cs="Times New Roman"/>
          <w:sz w:val="24"/>
          <w:szCs w:val="24"/>
          <w:lang w:val="en-US"/>
        </w:rPr>
        <w:t xml:space="preserve">Australia’s </w:t>
      </w:r>
      <w:r>
        <w:rPr>
          <w:rFonts w:ascii="Times New Roman" w:hAnsi="Times New Roman" w:cs="Times New Roman"/>
          <w:sz w:val="24"/>
          <w:szCs w:val="24"/>
          <w:lang w:val="en-US"/>
        </w:rPr>
        <w:t xml:space="preserve">values for the regressors, of </w:t>
      </w:r>
      <w:r w:rsidRPr="00A23090">
        <w:rPr>
          <w:rFonts w:ascii="Times New Roman" w:hAnsi="Times New Roman" w:cs="Times New Roman"/>
          <w:i/>
          <w:sz w:val="24"/>
          <w:szCs w:val="24"/>
          <w:lang w:val="en-US"/>
        </w:rPr>
        <w:t>PD</w:t>
      </w:r>
      <w:r w:rsidR="00F879D5">
        <w:rPr>
          <w:rFonts w:ascii="Times New Roman" w:hAnsi="Times New Roman" w:cs="Times New Roman"/>
          <w:sz w:val="24"/>
          <w:szCs w:val="24"/>
          <w:lang w:val="en-US"/>
        </w:rPr>
        <w:t xml:space="preserve"> = 0.009</w:t>
      </w:r>
      <w:r>
        <w:rPr>
          <w:rFonts w:ascii="Times New Roman" w:hAnsi="Times New Roman" w:cs="Times New Roman"/>
          <w:sz w:val="24"/>
          <w:szCs w:val="24"/>
          <w:lang w:val="en-US"/>
        </w:rPr>
        <w:t xml:space="preserve"> and </w:t>
      </w:r>
      <w:r w:rsidRPr="00A23090">
        <w:rPr>
          <w:rFonts w:ascii="Times New Roman" w:hAnsi="Times New Roman" w:cs="Times New Roman"/>
          <w:i/>
          <w:sz w:val="24"/>
          <w:szCs w:val="24"/>
          <w:lang w:val="en-US"/>
        </w:rPr>
        <w:t>FD</w:t>
      </w:r>
      <w:r w:rsidR="00F879D5">
        <w:rPr>
          <w:rFonts w:ascii="Times New Roman" w:hAnsi="Times New Roman" w:cs="Times New Roman"/>
          <w:sz w:val="24"/>
          <w:szCs w:val="24"/>
          <w:lang w:val="en-US"/>
        </w:rPr>
        <w:t xml:space="preserve"> = 15</w:t>
      </w:r>
      <w:r>
        <w:rPr>
          <w:rFonts w:ascii="Times New Roman" w:hAnsi="Times New Roman" w:cs="Times New Roman"/>
          <w:sz w:val="24"/>
          <w:szCs w:val="24"/>
          <w:lang w:val="en-US"/>
        </w:rPr>
        <w:t>, yields an estimated death rate</w:t>
      </w:r>
      <w:r w:rsidR="00C938FB">
        <w:rPr>
          <w:rFonts w:ascii="Times New Roman" w:hAnsi="Times New Roman" w:cs="Times New Roman"/>
          <w:sz w:val="24"/>
          <w:szCs w:val="24"/>
          <w:lang w:val="en-US"/>
        </w:rPr>
        <w:t xml:space="preserve"> </w:t>
      </w:r>
      <w:r w:rsidR="00C938FB" w:rsidRPr="00C938FB">
        <w:rPr>
          <w:rFonts w:ascii="Times New Roman" w:hAnsi="Times New Roman" w:cs="Times New Roman"/>
          <w:i/>
          <w:sz w:val="24"/>
          <w:szCs w:val="24"/>
          <w:lang w:val="en-US"/>
        </w:rPr>
        <w:t>D</w:t>
      </w:r>
      <w:r>
        <w:rPr>
          <w:rFonts w:ascii="Times New Roman" w:hAnsi="Times New Roman" w:cs="Times New Roman"/>
          <w:sz w:val="24"/>
          <w:szCs w:val="24"/>
          <w:lang w:val="en-US"/>
        </w:rPr>
        <w:t xml:space="preserve"> under mitig</w:t>
      </w:r>
      <w:r w:rsidR="00F879D5">
        <w:rPr>
          <w:rFonts w:ascii="Times New Roman" w:hAnsi="Times New Roman" w:cs="Times New Roman"/>
          <w:sz w:val="24"/>
          <w:szCs w:val="24"/>
          <w:lang w:val="en-US"/>
        </w:rPr>
        <w:t>ation of 699</w:t>
      </w:r>
      <w:r>
        <w:rPr>
          <w:rFonts w:ascii="Times New Roman" w:hAnsi="Times New Roman" w:cs="Times New Roman"/>
          <w:sz w:val="24"/>
          <w:szCs w:val="24"/>
          <w:lang w:val="en-US"/>
        </w:rPr>
        <w:t xml:space="preserve"> per 1m.  </w:t>
      </w:r>
    </w:p>
    <w:p w14:paraId="1FB9F317" w14:textId="77777777" w:rsidR="00F879D5" w:rsidRDefault="00F879D5" w:rsidP="0061614D">
      <w:pPr>
        <w:spacing w:after="0" w:line="360" w:lineRule="auto"/>
        <w:jc w:val="both"/>
        <w:rPr>
          <w:rFonts w:ascii="Times New Roman" w:hAnsi="Times New Roman" w:cs="Times New Roman"/>
          <w:sz w:val="24"/>
          <w:szCs w:val="24"/>
          <w:lang w:val="en-US"/>
        </w:rPr>
      </w:pPr>
    </w:p>
    <w:p w14:paraId="3BAF6989"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analysis uses data from European countries, because the quality of the data is judged to be sufficient, and conservatively excludes East Asian democracies (with very low death rates regardless of government policy) because cultural norms may differ significantly from </w:t>
      </w:r>
      <w:r w:rsidR="00776B5C">
        <w:rPr>
          <w:rFonts w:ascii="Times New Roman" w:hAnsi="Times New Roman" w:cs="Times New Roman"/>
          <w:sz w:val="24"/>
          <w:szCs w:val="24"/>
          <w:lang w:val="en-US"/>
        </w:rPr>
        <w:t>Australia.</w:t>
      </w:r>
      <w:r>
        <w:rPr>
          <w:rFonts w:ascii="Times New Roman" w:hAnsi="Times New Roman" w:cs="Times New Roman"/>
          <w:sz w:val="24"/>
          <w:szCs w:val="24"/>
          <w:lang w:val="en-US"/>
        </w:rPr>
        <w:t xml:space="preserve">  </w:t>
      </w:r>
      <w:r w:rsidR="00816C3A">
        <w:rPr>
          <w:rFonts w:ascii="Times New Roman" w:hAnsi="Times New Roman" w:cs="Times New Roman"/>
          <w:sz w:val="24"/>
          <w:szCs w:val="24"/>
          <w:lang w:val="en-US"/>
        </w:rPr>
        <w:t xml:space="preserve">I now </w:t>
      </w:r>
      <w:r>
        <w:rPr>
          <w:rFonts w:ascii="Times New Roman" w:hAnsi="Times New Roman" w:cs="Times New Roman"/>
          <w:sz w:val="24"/>
          <w:szCs w:val="24"/>
          <w:lang w:val="en-US"/>
        </w:rPr>
        <w:t>examine the next best source of data, which appears to be that from the Americas, but with the exclusion of the US and Canada (because they are federal systems with variation in policy by state) and exclusion also of Cuba, Nicaragua and Venezuela (because authoritarian regimes are likely to deliberately understate deaths).  I also exclude countries with less than 50,000 people because death rates expressed per 1m of population (as the data source does) are only then expressible in multiples of 20 or more.  Across the countries for which both Hale et al (2020</w:t>
      </w:r>
      <w:r w:rsidR="001F7815">
        <w:rPr>
          <w:rFonts w:ascii="Times New Roman" w:hAnsi="Times New Roman" w:cs="Times New Roman"/>
          <w:sz w:val="24"/>
          <w:szCs w:val="24"/>
          <w:lang w:val="en-US"/>
        </w:rPr>
        <w:t>a</w:t>
      </w:r>
      <w:r>
        <w:rPr>
          <w:rFonts w:ascii="Times New Roman" w:hAnsi="Times New Roman" w:cs="Times New Roman"/>
          <w:sz w:val="24"/>
          <w:szCs w:val="24"/>
          <w:lang w:val="en-US"/>
        </w:rPr>
        <w:t xml:space="preserve">) provides the Stringency data and the www.worldometers.info website provides death rate data, there are 28 countries: Brazil, Argentina, Colombia, Mexico, Peru, Chile, Ecuador, Bolivia, Panama, Dominican Republic, Costa Rica, Guatemala, Honduras, Paraguay, El Salvador, French Guyana, Jamaica, Haiti, Trinidad and Tobago, Suriname, Aruba, Guyana, Belize, Uruguay, Cayman Islands, Barbados, Bermuda, and Dominica.  Unlike the European data, population density and date of first death are not statistically significant, but the following two regressors are statistically significant: </w:t>
      </w:r>
    </w:p>
    <w:p w14:paraId="53707EBD" w14:textId="77777777" w:rsidR="0061614D" w:rsidRDefault="0061614D" w:rsidP="0061614D">
      <w:pPr>
        <w:pStyle w:val="ListParagraph"/>
        <w:numPr>
          <w:ilvl w:val="0"/>
          <w:numId w:val="6"/>
        </w:numPr>
        <w:spacing w:after="0" w:line="360" w:lineRule="auto"/>
        <w:jc w:val="both"/>
        <w:rPr>
          <w:rFonts w:ascii="Times New Roman" w:hAnsi="Times New Roman" w:cs="Times New Roman"/>
          <w:sz w:val="24"/>
          <w:szCs w:val="24"/>
          <w:lang w:val="en-US"/>
        </w:rPr>
      </w:pPr>
      <w:r w:rsidRPr="00F540BA">
        <w:rPr>
          <w:rFonts w:ascii="Times New Roman" w:hAnsi="Times New Roman" w:cs="Times New Roman"/>
          <w:sz w:val="24"/>
          <w:szCs w:val="24"/>
          <w:lang w:val="en-US"/>
        </w:rPr>
        <w:t>population (higher values provide a higher pool of virus targets before national borders constrict the movement of people and therefore the transmission of the virus),</w:t>
      </w:r>
    </w:p>
    <w:p w14:paraId="1DBB0DED" w14:textId="77777777" w:rsidR="0061614D" w:rsidRDefault="0061614D" w:rsidP="0061614D">
      <w:pPr>
        <w:pStyle w:val="ListParagraph"/>
        <w:numPr>
          <w:ilvl w:val="0"/>
          <w:numId w:val="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having no land borders with other countries (water barriers rather than land borders better restrict the flow of people and hence the virus into a country).</w:t>
      </w:r>
    </w:p>
    <w:p w14:paraId="2C11FAD7"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the maximum Stringency index is added, it is not statistically significant and the estimated coefficient on it is positive rather than the expected negative.  With </w:t>
      </w:r>
      <w:r w:rsidRPr="00123D01">
        <w:rPr>
          <w:rFonts w:ascii="Times New Roman" w:hAnsi="Times New Roman" w:cs="Times New Roman"/>
          <w:i/>
          <w:sz w:val="24"/>
          <w:szCs w:val="24"/>
          <w:lang w:val="en-US"/>
        </w:rPr>
        <w:t>P</w:t>
      </w:r>
      <w:r>
        <w:rPr>
          <w:rFonts w:ascii="Times New Roman" w:hAnsi="Times New Roman" w:cs="Times New Roman"/>
          <w:sz w:val="24"/>
          <w:szCs w:val="24"/>
          <w:lang w:val="en-US"/>
        </w:rPr>
        <w:t xml:space="preserve"> denoting population in millions and </w:t>
      </w:r>
      <w:r w:rsidRPr="00123D01">
        <w:rPr>
          <w:rFonts w:ascii="Times New Roman" w:hAnsi="Times New Roman" w:cs="Times New Roman"/>
          <w:i/>
          <w:sz w:val="24"/>
          <w:szCs w:val="24"/>
          <w:lang w:val="en-US"/>
        </w:rPr>
        <w:t>I</w:t>
      </w:r>
      <w:r>
        <w:rPr>
          <w:rFonts w:ascii="Times New Roman" w:hAnsi="Times New Roman" w:cs="Times New Roman"/>
          <w:sz w:val="24"/>
          <w:szCs w:val="24"/>
          <w:lang w:val="en-US"/>
        </w:rPr>
        <w:t xml:space="preserve"> denoting no land borders (1 if so and 0 otherwise), the model exclusive of </w:t>
      </w:r>
      <w:r w:rsidRPr="003558CC">
        <w:rPr>
          <w:rFonts w:ascii="Times New Roman" w:hAnsi="Times New Roman" w:cs="Times New Roman"/>
          <w:i/>
          <w:sz w:val="24"/>
          <w:szCs w:val="24"/>
          <w:lang w:val="en-US"/>
        </w:rPr>
        <w:t>S</w:t>
      </w:r>
      <w:r>
        <w:rPr>
          <w:rFonts w:ascii="Times New Roman" w:hAnsi="Times New Roman" w:cs="Times New Roman"/>
          <w:sz w:val="24"/>
          <w:szCs w:val="24"/>
          <w:lang w:val="en-US"/>
        </w:rPr>
        <w:t xml:space="preserve"> is thus:</w:t>
      </w:r>
    </w:p>
    <w:p w14:paraId="48D0D75B" w14:textId="77777777" w:rsidR="0061614D" w:rsidRPr="00F540BA" w:rsidRDefault="0061614D" w:rsidP="0061614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D=434+3.47P-313I                                                   (3)</m:t>
          </m:r>
        </m:oMath>
      </m:oMathPara>
    </w:p>
    <w:p w14:paraId="0EE2A251" w14:textId="77777777" w:rsidR="0061614D" w:rsidRDefault="0061614D" w:rsidP="0061614D">
      <w:pPr>
        <w:spacing w:after="0" w:line="360" w:lineRule="auto"/>
        <w:jc w:val="center"/>
        <w:rPr>
          <w:rFonts w:ascii="Times New Roman" w:hAnsi="Times New Roman" w:cs="Times New Roman"/>
          <w:sz w:val="24"/>
          <w:szCs w:val="24"/>
          <w:lang w:val="en-US"/>
        </w:rPr>
      </w:pPr>
    </w:p>
    <w:p w14:paraId="2779B241"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is a respectable 0.43, and the </w:t>
      </w:r>
      <w:r w:rsidRPr="00E46250">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on the three coefficients are 0, 0.01 and </w:t>
      </w:r>
      <w:proofErr w:type="gramStart"/>
      <w:r>
        <w:rPr>
          <w:rFonts w:ascii="Times New Roman" w:hAnsi="Times New Roman" w:cs="Times New Roman"/>
          <w:sz w:val="24"/>
          <w:szCs w:val="24"/>
          <w:lang w:val="en-US"/>
        </w:rPr>
        <w:t>0.01</w:t>
      </w:r>
      <w:proofErr w:type="gramEnd"/>
      <w:r>
        <w:rPr>
          <w:rFonts w:ascii="Times New Roman" w:hAnsi="Times New Roman" w:cs="Times New Roman"/>
          <w:sz w:val="24"/>
          <w:szCs w:val="24"/>
          <w:lang w:val="en-US"/>
        </w:rPr>
        <w:t xml:space="preserve"> respectively.  Substitution of </w:t>
      </w:r>
      <w:r w:rsidR="0019648C">
        <w:rPr>
          <w:rFonts w:ascii="Times New Roman" w:hAnsi="Times New Roman" w:cs="Times New Roman"/>
          <w:sz w:val="24"/>
          <w:szCs w:val="24"/>
          <w:lang w:val="en-US"/>
        </w:rPr>
        <w:t xml:space="preserve">Australia’s </w:t>
      </w:r>
      <w:r>
        <w:rPr>
          <w:rFonts w:ascii="Times New Roman" w:hAnsi="Times New Roman" w:cs="Times New Roman"/>
          <w:sz w:val="24"/>
          <w:szCs w:val="24"/>
          <w:lang w:val="en-US"/>
        </w:rPr>
        <w:t xml:space="preserve">values for the regressors, of </w:t>
      </w:r>
      <w:r>
        <w:rPr>
          <w:rFonts w:ascii="Times New Roman" w:hAnsi="Times New Roman" w:cs="Times New Roman"/>
          <w:i/>
          <w:sz w:val="24"/>
          <w:szCs w:val="24"/>
          <w:lang w:val="en-US"/>
        </w:rPr>
        <w:t>P</w:t>
      </w:r>
      <w:r w:rsidR="0019648C">
        <w:rPr>
          <w:rFonts w:ascii="Times New Roman" w:hAnsi="Times New Roman" w:cs="Times New Roman"/>
          <w:sz w:val="24"/>
          <w:szCs w:val="24"/>
          <w:lang w:val="en-US"/>
        </w:rPr>
        <w:t xml:space="preserve"> = 26</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 1, yields an estimated de</w:t>
      </w:r>
      <w:r w:rsidR="0019648C">
        <w:rPr>
          <w:rFonts w:ascii="Times New Roman" w:hAnsi="Times New Roman" w:cs="Times New Roman"/>
          <w:sz w:val="24"/>
          <w:szCs w:val="24"/>
          <w:lang w:val="en-US"/>
        </w:rPr>
        <w:t>ath rate under mitigation of 211</w:t>
      </w:r>
      <w:r>
        <w:rPr>
          <w:rFonts w:ascii="Times New Roman" w:hAnsi="Times New Roman" w:cs="Times New Roman"/>
          <w:sz w:val="24"/>
          <w:szCs w:val="24"/>
          <w:lang w:val="en-US"/>
        </w:rPr>
        <w:t xml:space="preserve"> per 1m.  </w:t>
      </w:r>
    </w:p>
    <w:p w14:paraId="02B81D44" w14:textId="77777777" w:rsidR="0061614D" w:rsidRDefault="0061614D" w:rsidP="0061614D">
      <w:pPr>
        <w:spacing w:after="0" w:line="360" w:lineRule="auto"/>
        <w:jc w:val="both"/>
        <w:rPr>
          <w:rFonts w:ascii="Times New Roman" w:hAnsi="Times New Roman" w:cs="Times New Roman"/>
          <w:sz w:val="24"/>
          <w:szCs w:val="24"/>
          <w:lang w:val="en-US"/>
        </w:rPr>
      </w:pPr>
    </w:p>
    <w:p w14:paraId="6C476F46"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European and Americas data are pooled, </w:t>
      </w:r>
      <w:r w:rsidRPr="002C2A84">
        <w:rPr>
          <w:rFonts w:ascii="Times New Roman" w:hAnsi="Times New Roman" w:cs="Times New Roman"/>
          <w:i/>
          <w:sz w:val="24"/>
          <w:szCs w:val="24"/>
          <w:lang w:val="en-US"/>
        </w:rPr>
        <w:t>P</w:t>
      </w:r>
      <w:r>
        <w:rPr>
          <w:rFonts w:ascii="Times New Roman" w:hAnsi="Times New Roman" w:cs="Times New Roman"/>
          <w:sz w:val="24"/>
          <w:szCs w:val="24"/>
          <w:lang w:val="en-US"/>
        </w:rPr>
        <w:t xml:space="preserve">, </w:t>
      </w:r>
      <w:r w:rsidRPr="002C2A84">
        <w:rPr>
          <w:rFonts w:ascii="Times New Roman" w:hAnsi="Times New Roman" w:cs="Times New Roman"/>
          <w:i/>
          <w:sz w:val="24"/>
          <w:szCs w:val="24"/>
          <w:lang w:val="en-US"/>
        </w:rPr>
        <w:t>I</w:t>
      </w:r>
      <w:r>
        <w:rPr>
          <w:rFonts w:ascii="Times New Roman" w:hAnsi="Times New Roman" w:cs="Times New Roman"/>
          <w:sz w:val="24"/>
          <w:szCs w:val="24"/>
          <w:lang w:val="en-US"/>
        </w:rPr>
        <w:t xml:space="preserve"> and date of first death (</w:t>
      </w:r>
      <w:r w:rsidRPr="00504EC7">
        <w:rPr>
          <w:rFonts w:ascii="Times New Roman" w:hAnsi="Times New Roman" w:cs="Times New Roman"/>
          <w:i/>
          <w:sz w:val="24"/>
          <w:szCs w:val="24"/>
          <w:lang w:val="en-US"/>
        </w:rPr>
        <w:t>FD</w:t>
      </w:r>
      <w:r>
        <w:rPr>
          <w:rFonts w:ascii="Times New Roman" w:hAnsi="Times New Roman" w:cs="Times New Roman"/>
          <w:sz w:val="24"/>
          <w:szCs w:val="24"/>
          <w:lang w:val="en-US"/>
        </w:rPr>
        <w:t xml:space="preserve">) are statistically significant at the 10% level, with all coefficients having the expected signs.  Addition of </w:t>
      </w:r>
      <w:r w:rsidRPr="003C5E70">
        <w:rPr>
          <w:rFonts w:ascii="Times New Roman" w:hAnsi="Times New Roman" w:cs="Times New Roman"/>
          <w:i/>
          <w:sz w:val="24"/>
          <w:szCs w:val="24"/>
          <w:lang w:val="en-US"/>
        </w:rPr>
        <w:t>S</w:t>
      </w:r>
      <w:r>
        <w:rPr>
          <w:rFonts w:ascii="Times New Roman" w:hAnsi="Times New Roman" w:cs="Times New Roman"/>
          <w:sz w:val="24"/>
          <w:szCs w:val="24"/>
          <w:lang w:val="en-US"/>
        </w:rPr>
        <w:t xml:space="preserve"> yields a coefficient that is not statistically significant, and with the wrong sign.  The resulting model exclusive of </w:t>
      </w:r>
      <w:r w:rsidRPr="00A550F4">
        <w:rPr>
          <w:rFonts w:ascii="Times New Roman" w:hAnsi="Times New Roman" w:cs="Times New Roman"/>
          <w:i/>
          <w:sz w:val="24"/>
          <w:szCs w:val="24"/>
          <w:lang w:val="en-US"/>
        </w:rPr>
        <w:t>S</w:t>
      </w:r>
      <w:r>
        <w:rPr>
          <w:rFonts w:ascii="Times New Roman" w:hAnsi="Times New Roman" w:cs="Times New Roman"/>
          <w:sz w:val="24"/>
          <w:szCs w:val="24"/>
          <w:lang w:val="en-US"/>
        </w:rPr>
        <w:t xml:space="preserve"> is thus:</w:t>
      </w:r>
    </w:p>
    <w:p w14:paraId="0B84CBC4" w14:textId="77777777" w:rsidR="0061614D" w:rsidRDefault="0061614D" w:rsidP="0061614D">
      <w:pPr>
        <w:spacing w:after="0" w:line="360" w:lineRule="auto"/>
        <w:jc w:val="both"/>
        <w:rPr>
          <w:rFonts w:ascii="Times New Roman" w:hAnsi="Times New Roman" w:cs="Times New Roman"/>
          <w:sz w:val="24"/>
          <w:szCs w:val="24"/>
          <w:lang w:val="en-US"/>
        </w:rPr>
      </w:pPr>
    </w:p>
    <w:p w14:paraId="0089E803" w14:textId="77777777" w:rsidR="0061614D" w:rsidRDefault="0061614D" w:rsidP="0061614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D=860+2.4P-333I-8.6FD                                          (4)</m:t>
          </m:r>
        </m:oMath>
      </m:oMathPara>
    </w:p>
    <w:p w14:paraId="45966B58" w14:textId="77777777" w:rsidR="0061614D" w:rsidRDefault="0061614D" w:rsidP="0061614D">
      <w:pPr>
        <w:spacing w:after="0" w:line="360" w:lineRule="auto"/>
        <w:jc w:val="center"/>
        <w:rPr>
          <w:rFonts w:ascii="Times New Roman" w:hAnsi="Times New Roman" w:cs="Times New Roman"/>
          <w:sz w:val="24"/>
          <w:szCs w:val="24"/>
          <w:lang w:val="en-US"/>
        </w:rPr>
      </w:pPr>
    </w:p>
    <w:p w14:paraId="36A0E7E9"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is a respectable 0.36, and the </w:t>
      </w:r>
      <w:r w:rsidRPr="00E46250">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on the four coefficients are 0, 0.07, 0.02 and </w:t>
      </w:r>
      <w:proofErr w:type="gramStart"/>
      <w:r>
        <w:rPr>
          <w:rFonts w:ascii="Times New Roman" w:hAnsi="Times New Roman" w:cs="Times New Roman"/>
          <w:sz w:val="24"/>
          <w:szCs w:val="24"/>
          <w:lang w:val="en-US"/>
        </w:rPr>
        <w:t>0.02</w:t>
      </w:r>
      <w:proofErr w:type="gramEnd"/>
      <w:r>
        <w:rPr>
          <w:rFonts w:ascii="Times New Roman" w:hAnsi="Times New Roman" w:cs="Times New Roman"/>
          <w:sz w:val="24"/>
          <w:szCs w:val="24"/>
          <w:lang w:val="en-US"/>
        </w:rPr>
        <w:t xml:space="preserve"> respectively.  Substitution of </w:t>
      </w:r>
      <w:r w:rsidR="00EB01ED">
        <w:rPr>
          <w:rFonts w:ascii="Times New Roman" w:hAnsi="Times New Roman" w:cs="Times New Roman"/>
          <w:sz w:val="24"/>
          <w:szCs w:val="24"/>
          <w:lang w:val="en-US"/>
        </w:rPr>
        <w:t xml:space="preserve">Australia’s </w:t>
      </w:r>
      <w:r>
        <w:rPr>
          <w:rFonts w:ascii="Times New Roman" w:hAnsi="Times New Roman" w:cs="Times New Roman"/>
          <w:sz w:val="24"/>
          <w:szCs w:val="24"/>
          <w:lang w:val="en-US"/>
        </w:rPr>
        <w:t xml:space="preserve">values for the regressors, of </w:t>
      </w:r>
      <w:r>
        <w:rPr>
          <w:rFonts w:ascii="Times New Roman" w:hAnsi="Times New Roman" w:cs="Times New Roman"/>
          <w:i/>
          <w:sz w:val="24"/>
          <w:szCs w:val="24"/>
          <w:lang w:val="en-US"/>
        </w:rPr>
        <w:t>P</w:t>
      </w:r>
      <w:r w:rsidR="00EB01ED">
        <w:rPr>
          <w:rFonts w:ascii="Times New Roman" w:hAnsi="Times New Roman" w:cs="Times New Roman"/>
          <w:sz w:val="24"/>
          <w:szCs w:val="24"/>
          <w:lang w:val="en-US"/>
        </w:rPr>
        <w:t xml:space="preserve"> = 26</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 1, and </w:t>
      </w:r>
      <w:r w:rsidRPr="00AB2E08">
        <w:rPr>
          <w:rFonts w:ascii="Times New Roman" w:hAnsi="Times New Roman" w:cs="Times New Roman"/>
          <w:i/>
          <w:sz w:val="24"/>
          <w:szCs w:val="24"/>
          <w:lang w:val="en-US"/>
        </w:rPr>
        <w:t>FD</w:t>
      </w:r>
      <w:r w:rsidR="00EB01ED">
        <w:rPr>
          <w:rFonts w:ascii="Times New Roman" w:hAnsi="Times New Roman" w:cs="Times New Roman"/>
          <w:sz w:val="24"/>
          <w:szCs w:val="24"/>
          <w:lang w:val="en-US"/>
        </w:rPr>
        <w:t xml:space="preserve"> = 15</w:t>
      </w:r>
      <w:r>
        <w:rPr>
          <w:rFonts w:ascii="Times New Roman" w:hAnsi="Times New Roman" w:cs="Times New Roman"/>
          <w:sz w:val="24"/>
          <w:szCs w:val="24"/>
          <w:lang w:val="en-US"/>
        </w:rPr>
        <w:t>, yields an estimated de</w:t>
      </w:r>
      <w:r w:rsidR="00993FE6">
        <w:rPr>
          <w:rFonts w:ascii="Times New Roman" w:hAnsi="Times New Roman" w:cs="Times New Roman"/>
          <w:sz w:val="24"/>
          <w:szCs w:val="24"/>
          <w:lang w:val="en-US"/>
        </w:rPr>
        <w:t>ath rate under mitigation of 460</w:t>
      </w:r>
      <w:r>
        <w:rPr>
          <w:rFonts w:ascii="Times New Roman" w:hAnsi="Times New Roman" w:cs="Times New Roman"/>
          <w:sz w:val="24"/>
          <w:szCs w:val="24"/>
          <w:lang w:val="en-US"/>
        </w:rPr>
        <w:t xml:space="preserve"> per 1m.</w:t>
      </w:r>
    </w:p>
    <w:p w14:paraId="55EDABE3" w14:textId="77777777" w:rsidR="0061614D" w:rsidRDefault="0061614D" w:rsidP="0061614D">
      <w:pPr>
        <w:spacing w:after="0" w:line="360" w:lineRule="auto"/>
        <w:jc w:val="both"/>
        <w:rPr>
          <w:rFonts w:ascii="Times New Roman" w:hAnsi="Times New Roman" w:cs="Times New Roman"/>
          <w:sz w:val="24"/>
          <w:szCs w:val="24"/>
          <w:lang w:val="en-US"/>
        </w:rPr>
      </w:pPr>
    </w:p>
    <w:p w14:paraId="19E7FFEE" w14:textId="77777777" w:rsidR="0061614D" w:rsidRDefault="0061614D" w:rsidP="006161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Across these three models (</w:t>
      </w:r>
      <w:r w:rsidR="000C219B">
        <w:rPr>
          <w:rFonts w:ascii="Times New Roman" w:hAnsi="Times New Roman" w:cs="Times New Roman"/>
          <w:sz w:val="24"/>
          <w:szCs w:val="24"/>
          <w:lang w:val="en-US"/>
        </w:rPr>
        <w:t>2</w:t>
      </w:r>
      <w:r>
        <w:rPr>
          <w:rFonts w:ascii="Times New Roman" w:hAnsi="Times New Roman" w:cs="Times New Roman"/>
          <w:sz w:val="24"/>
          <w:szCs w:val="24"/>
          <w:lang w:val="en-US"/>
        </w:rPr>
        <w:t>), (</w:t>
      </w:r>
      <w:r w:rsidR="000C219B">
        <w:rPr>
          <w:rFonts w:ascii="Times New Roman" w:hAnsi="Times New Roman" w:cs="Times New Roman"/>
          <w:sz w:val="24"/>
          <w:szCs w:val="24"/>
          <w:lang w:val="en-US"/>
        </w:rPr>
        <w:t>3</w:t>
      </w:r>
      <w:r>
        <w:rPr>
          <w:rFonts w:ascii="Times New Roman" w:hAnsi="Times New Roman" w:cs="Times New Roman"/>
          <w:sz w:val="24"/>
          <w:szCs w:val="24"/>
          <w:lang w:val="en-US"/>
        </w:rPr>
        <w:t>) and (</w:t>
      </w:r>
      <w:r w:rsidR="000C219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2617BA">
        <w:rPr>
          <w:rFonts w:ascii="Times New Roman" w:hAnsi="Times New Roman" w:cs="Times New Roman"/>
          <w:sz w:val="24"/>
          <w:szCs w:val="24"/>
          <w:lang w:val="en-US"/>
        </w:rPr>
        <w:t>the estimated death rat</w:t>
      </w:r>
      <w:r w:rsidR="001F7815">
        <w:rPr>
          <w:rFonts w:ascii="Times New Roman" w:hAnsi="Times New Roman" w:cs="Times New Roman"/>
          <w:sz w:val="24"/>
          <w:szCs w:val="24"/>
          <w:lang w:val="en-US"/>
        </w:rPr>
        <w:t>e for Australia under a mitigation policy is 211 to 699 per 1m</w:t>
      </w:r>
      <w:r>
        <w:rPr>
          <w:rFonts w:ascii="Times New Roman" w:hAnsi="Times New Roman" w:cs="Times New Roman"/>
          <w:sz w:val="24"/>
          <w:szCs w:val="24"/>
          <w:lang w:val="en-US"/>
        </w:rPr>
        <w:t xml:space="preserve">.  </w:t>
      </w:r>
      <w:r w:rsidR="00A84095">
        <w:rPr>
          <w:rFonts w:ascii="Times New Roman" w:hAnsi="Times New Roman" w:cs="Times New Roman"/>
          <w:sz w:val="24"/>
          <w:szCs w:val="24"/>
          <w:lang w:val="en-US"/>
        </w:rPr>
        <w:t>With 26m people</w:t>
      </w:r>
      <w:r w:rsidR="002617BA">
        <w:rPr>
          <w:rFonts w:ascii="Times New Roman" w:hAnsi="Times New Roman" w:cs="Times New Roman"/>
          <w:sz w:val="24"/>
          <w:szCs w:val="24"/>
          <w:lang w:val="en-US"/>
        </w:rPr>
        <w:t xml:space="preserve"> in Australia</w:t>
      </w:r>
      <w:r w:rsidR="00A84095">
        <w:rPr>
          <w:rFonts w:ascii="Times New Roman" w:hAnsi="Times New Roman" w:cs="Times New Roman"/>
          <w:sz w:val="24"/>
          <w:szCs w:val="24"/>
          <w:lang w:val="en-US"/>
        </w:rPr>
        <w:t xml:space="preserve">, this implies </w:t>
      </w:r>
      <w:r w:rsidR="001F7815">
        <w:rPr>
          <w:rFonts w:ascii="Times New Roman" w:hAnsi="Times New Roman" w:cs="Times New Roman"/>
          <w:sz w:val="24"/>
          <w:szCs w:val="24"/>
          <w:lang w:val="en-US"/>
        </w:rPr>
        <w:t xml:space="preserve">5,000 - </w:t>
      </w:r>
      <w:r w:rsidR="00A84095">
        <w:rPr>
          <w:rFonts w:ascii="Times New Roman" w:hAnsi="Times New Roman" w:cs="Times New Roman"/>
          <w:sz w:val="24"/>
          <w:szCs w:val="24"/>
          <w:lang w:val="en-US"/>
        </w:rPr>
        <w:t>18,000 deaths</w:t>
      </w:r>
      <w:r w:rsidR="002617BA">
        <w:rPr>
          <w:rFonts w:ascii="Times New Roman" w:hAnsi="Times New Roman" w:cs="Times New Roman"/>
          <w:sz w:val="24"/>
          <w:szCs w:val="24"/>
          <w:lang w:val="en-US"/>
        </w:rPr>
        <w:t xml:space="preserve"> in Australia </w:t>
      </w:r>
      <w:r w:rsidR="00C938FB">
        <w:rPr>
          <w:rFonts w:ascii="Times New Roman" w:hAnsi="Times New Roman" w:cs="Times New Roman"/>
          <w:sz w:val="24"/>
          <w:szCs w:val="24"/>
          <w:lang w:val="en-US"/>
        </w:rPr>
        <w:t xml:space="preserve">up to 30 December </w:t>
      </w:r>
      <w:r w:rsidR="002617BA">
        <w:rPr>
          <w:rFonts w:ascii="Times New Roman" w:hAnsi="Times New Roman" w:cs="Times New Roman"/>
          <w:sz w:val="24"/>
          <w:szCs w:val="24"/>
          <w:lang w:val="en-US"/>
        </w:rPr>
        <w:t>had a mitigation policy been pursued</w:t>
      </w:r>
      <w:r w:rsidR="00A84095">
        <w:rPr>
          <w:rFonts w:ascii="Times New Roman" w:hAnsi="Times New Roman" w:cs="Times New Roman"/>
          <w:sz w:val="24"/>
          <w:szCs w:val="24"/>
          <w:lang w:val="en-US"/>
        </w:rPr>
        <w:t xml:space="preserve">.  </w:t>
      </w:r>
      <w:r w:rsidR="001F7815">
        <w:rPr>
          <w:rFonts w:ascii="Times New Roman" w:hAnsi="Times New Roman" w:cs="Times New Roman"/>
          <w:sz w:val="24"/>
          <w:szCs w:val="24"/>
          <w:lang w:val="en-US"/>
        </w:rPr>
        <w:t xml:space="preserve">The estimate </w:t>
      </w:r>
      <w:r w:rsidR="007203C4">
        <w:rPr>
          <w:rFonts w:ascii="Times New Roman" w:hAnsi="Times New Roman" w:cs="Times New Roman"/>
          <w:sz w:val="24"/>
          <w:szCs w:val="24"/>
          <w:lang w:val="en-US"/>
        </w:rPr>
        <w:t xml:space="preserve">of 18,000 </w:t>
      </w:r>
      <w:r w:rsidR="001F7815">
        <w:rPr>
          <w:rFonts w:ascii="Times New Roman" w:hAnsi="Times New Roman" w:cs="Times New Roman"/>
          <w:sz w:val="24"/>
          <w:szCs w:val="24"/>
          <w:lang w:val="en-US"/>
        </w:rPr>
        <w:t xml:space="preserve">uses the best quality data </w:t>
      </w:r>
      <w:r w:rsidR="0077183A">
        <w:rPr>
          <w:rFonts w:ascii="Times New Roman" w:hAnsi="Times New Roman" w:cs="Times New Roman"/>
          <w:sz w:val="24"/>
          <w:szCs w:val="24"/>
          <w:lang w:val="en-US"/>
        </w:rPr>
        <w:t xml:space="preserve">(from Europe) </w:t>
      </w:r>
      <w:r w:rsidR="001F7815">
        <w:rPr>
          <w:rFonts w:ascii="Times New Roman" w:hAnsi="Times New Roman" w:cs="Times New Roman"/>
          <w:sz w:val="24"/>
          <w:szCs w:val="24"/>
          <w:lang w:val="en-US"/>
        </w:rPr>
        <w:t xml:space="preserve">but is </w:t>
      </w:r>
      <w:r>
        <w:rPr>
          <w:rFonts w:ascii="Times New Roman" w:hAnsi="Times New Roman" w:cs="Times New Roman"/>
          <w:sz w:val="24"/>
          <w:szCs w:val="24"/>
          <w:lang w:val="en-US"/>
        </w:rPr>
        <w:t xml:space="preserve">likely to be too high because </w:t>
      </w:r>
      <w:r w:rsidR="00993FE6">
        <w:rPr>
          <w:rFonts w:ascii="Times New Roman" w:hAnsi="Times New Roman" w:cs="Times New Roman"/>
          <w:sz w:val="24"/>
          <w:szCs w:val="24"/>
          <w:lang w:val="en-US"/>
        </w:rPr>
        <w:t xml:space="preserve">Australia </w:t>
      </w:r>
      <w:r>
        <w:rPr>
          <w:rFonts w:ascii="Times New Roman" w:hAnsi="Times New Roman" w:cs="Times New Roman"/>
          <w:sz w:val="24"/>
          <w:szCs w:val="24"/>
          <w:lang w:val="en-US"/>
        </w:rPr>
        <w:t xml:space="preserve">is an island, and this reduces its death rate, but there are too few islands in the European data (only two) for </w:t>
      </w:r>
      <w:r w:rsidR="00661D58">
        <w:rPr>
          <w:rFonts w:ascii="Times New Roman" w:hAnsi="Times New Roman" w:cs="Times New Roman"/>
          <w:sz w:val="24"/>
          <w:szCs w:val="24"/>
          <w:lang w:val="en-US"/>
        </w:rPr>
        <w:t xml:space="preserve">the dummy variable “Island” </w:t>
      </w:r>
      <w:r>
        <w:rPr>
          <w:rFonts w:ascii="Times New Roman" w:hAnsi="Times New Roman" w:cs="Times New Roman"/>
          <w:sz w:val="24"/>
          <w:szCs w:val="24"/>
          <w:lang w:val="en-US"/>
        </w:rPr>
        <w:t>to be statistically significant and therefore w</w:t>
      </w:r>
      <w:r w:rsidR="000C219B">
        <w:rPr>
          <w:rFonts w:ascii="Times New Roman" w:hAnsi="Times New Roman" w:cs="Times New Roman"/>
          <w:sz w:val="24"/>
          <w:szCs w:val="24"/>
          <w:lang w:val="en-US"/>
        </w:rPr>
        <w:t>arrant inclusion in equation (2</w:t>
      </w:r>
      <w:r>
        <w:rPr>
          <w:rFonts w:ascii="Times New Roman" w:hAnsi="Times New Roman" w:cs="Times New Roman"/>
          <w:sz w:val="24"/>
          <w:szCs w:val="24"/>
          <w:lang w:val="en-US"/>
        </w:rPr>
        <w:t xml:space="preserve">).  This additional analysis also amplifies the point that </w:t>
      </w:r>
      <w:r w:rsidR="00993FE6">
        <w:rPr>
          <w:rFonts w:ascii="Times New Roman" w:hAnsi="Times New Roman" w:cs="Times New Roman"/>
          <w:sz w:val="24"/>
          <w:szCs w:val="24"/>
          <w:lang w:val="en-US"/>
        </w:rPr>
        <w:t xml:space="preserve">Australia </w:t>
      </w:r>
      <w:r>
        <w:rPr>
          <w:rFonts w:ascii="Times New Roman" w:hAnsi="Times New Roman" w:cs="Times New Roman"/>
          <w:sz w:val="24"/>
          <w:szCs w:val="24"/>
          <w:lang w:val="en-US"/>
        </w:rPr>
        <w:t xml:space="preserve">was in a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position had it pursued mitigation, because it has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values for </w:t>
      </w:r>
      <w:r w:rsidR="00993FE6">
        <w:rPr>
          <w:rFonts w:ascii="Times New Roman" w:hAnsi="Times New Roman" w:cs="Times New Roman"/>
          <w:sz w:val="24"/>
          <w:szCs w:val="24"/>
          <w:lang w:val="en-US"/>
        </w:rPr>
        <w:t xml:space="preserve">three of the four </w:t>
      </w:r>
      <w:r>
        <w:rPr>
          <w:rFonts w:ascii="Times New Roman" w:hAnsi="Times New Roman" w:cs="Times New Roman"/>
          <w:sz w:val="24"/>
          <w:szCs w:val="24"/>
          <w:lang w:val="en-US"/>
        </w:rPr>
        <w:t xml:space="preserve">variables found to reduce the Covid-19 death rate: low population, no land borders, </w:t>
      </w:r>
      <w:r w:rsidR="00993FE6">
        <w:rPr>
          <w:rFonts w:ascii="Times New Roman" w:hAnsi="Times New Roman" w:cs="Times New Roman"/>
          <w:sz w:val="24"/>
          <w:szCs w:val="24"/>
          <w:lang w:val="en-US"/>
        </w:rPr>
        <w:t>and low population density</w:t>
      </w:r>
      <w:r>
        <w:rPr>
          <w:rFonts w:ascii="Times New Roman" w:hAnsi="Times New Roman" w:cs="Times New Roman"/>
          <w:sz w:val="24"/>
          <w:szCs w:val="24"/>
          <w:lang w:val="en-US"/>
        </w:rPr>
        <w:t>.</w:t>
      </w:r>
    </w:p>
    <w:p w14:paraId="7452067A" w14:textId="77777777" w:rsidR="0061614D" w:rsidRDefault="0061614D" w:rsidP="000B7E7F">
      <w:pPr>
        <w:spacing w:after="0" w:line="360" w:lineRule="auto"/>
        <w:jc w:val="both"/>
        <w:rPr>
          <w:rFonts w:ascii="Times New Roman" w:hAnsi="Times New Roman" w:cs="Times New Roman"/>
          <w:sz w:val="24"/>
          <w:szCs w:val="24"/>
          <w:lang w:val="en-US"/>
        </w:rPr>
      </w:pPr>
    </w:p>
    <w:p w14:paraId="09CF7F4B" w14:textId="77777777" w:rsidR="00981268" w:rsidRDefault="00981268" w:rsidP="0098126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These estimates presume that Covid-19 deaths are accurately recorded.  However, some </w:t>
      </w:r>
      <w:r w:rsidR="00C938FB">
        <w:rPr>
          <w:rFonts w:ascii="Times New Roman" w:hAnsi="Times New Roman" w:cs="Times New Roman"/>
          <w:sz w:val="24"/>
          <w:szCs w:val="24"/>
          <w:lang w:val="en-US"/>
        </w:rPr>
        <w:t xml:space="preserve">Covid-19 </w:t>
      </w:r>
      <w:r>
        <w:rPr>
          <w:rFonts w:ascii="Times New Roman" w:hAnsi="Times New Roman" w:cs="Times New Roman"/>
          <w:sz w:val="24"/>
          <w:szCs w:val="24"/>
          <w:lang w:val="en-US"/>
        </w:rPr>
        <w:t xml:space="preserve">deaths may be mistakenly attributed to another cause, or </w:t>
      </w:r>
      <w:r w:rsidR="00C938FB">
        <w:rPr>
          <w:rFonts w:ascii="Times New Roman" w:hAnsi="Times New Roman" w:cs="Times New Roman"/>
          <w:sz w:val="24"/>
          <w:szCs w:val="24"/>
          <w:lang w:val="en-US"/>
        </w:rPr>
        <w:t xml:space="preserve">deaths from other causes </w:t>
      </w:r>
      <w:r>
        <w:rPr>
          <w:rFonts w:ascii="Times New Roman" w:hAnsi="Times New Roman" w:cs="Times New Roman"/>
          <w:sz w:val="24"/>
          <w:szCs w:val="24"/>
          <w:lang w:val="en-US"/>
        </w:rPr>
        <w:t xml:space="preserve">mistakenly attributed to Covid-19, with the latter error possible simply because most victims have co-morbidities.  By analogy, if a person is shot in the heart and then the head, and then dies, the cause of death may not be the head shot.  In addition, lockdown </w:t>
      </w:r>
      <w:r w:rsidR="00DD0459">
        <w:rPr>
          <w:rFonts w:ascii="Times New Roman" w:hAnsi="Times New Roman" w:cs="Times New Roman"/>
          <w:sz w:val="24"/>
          <w:szCs w:val="24"/>
          <w:lang w:val="en-US"/>
        </w:rPr>
        <w:t xml:space="preserve">discourages or prevents some people suffering from non Covid-19 conditions from seeking medical attention, </w:t>
      </w:r>
      <w:r>
        <w:rPr>
          <w:rFonts w:ascii="Times New Roman" w:hAnsi="Times New Roman" w:cs="Times New Roman"/>
          <w:sz w:val="24"/>
          <w:szCs w:val="24"/>
          <w:lang w:val="en-US"/>
        </w:rPr>
        <w:t>leading to some deaths in lockdown countries that would not otherwise have occurred, and these should be included in the incremental deaths from lockdown.  I</w:t>
      </w:r>
      <w:r w:rsidR="00937B2F">
        <w:rPr>
          <w:rFonts w:ascii="Times New Roman" w:hAnsi="Times New Roman" w:cs="Times New Roman"/>
          <w:sz w:val="24"/>
          <w:szCs w:val="24"/>
          <w:lang w:val="en-US"/>
        </w:rPr>
        <w:t>n addition, mitigation increases</w:t>
      </w:r>
      <w:r>
        <w:rPr>
          <w:rFonts w:ascii="Times New Roman" w:hAnsi="Times New Roman" w:cs="Times New Roman"/>
          <w:sz w:val="24"/>
          <w:szCs w:val="24"/>
          <w:lang w:val="en-US"/>
        </w:rPr>
        <w:t xml:space="preserve"> the load on hospitals, leading to more deaths from other causes </w:t>
      </w:r>
      <w:r w:rsidR="003F041D">
        <w:rPr>
          <w:rFonts w:ascii="Times New Roman" w:hAnsi="Times New Roman" w:cs="Times New Roman"/>
          <w:sz w:val="24"/>
          <w:szCs w:val="24"/>
          <w:lang w:val="en-US"/>
        </w:rPr>
        <w:t xml:space="preserve">(through lack of care) </w:t>
      </w:r>
      <w:r>
        <w:rPr>
          <w:rFonts w:ascii="Times New Roman" w:hAnsi="Times New Roman" w:cs="Times New Roman"/>
          <w:sz w:val="24"/>
          <w:szCs w:val="24"/>
          <w:lang w:val="en-US"/>
        </w:rPr>
        <w:t>in mitigation countries, and these should be included in the incremental deaths from mitigation.  An estimate of the Covid-19 deaths that accounts for all of these phenomena is the actual deaths in 2020 less the predicted number sans Covid-19 (“</w:t>
      </w:r>
      <w:r w:rsidR="003F041D">
        <w:rPr>
          <w:rFonts w:ascii="Times New Roman" w:hAnsi="Times New Roman" w:cs="Times New Roman"/>
          <w:sz w:val="24"/>
          <w:szCs w:val="24"/>
          <w:lang w:val="en-US"/>
        </w:rPr>
        <w:t>E</w:t>
      </w:r>
      <w:r>
        <w:rPr>
          <w:rFonts w:ascii="Times New Roman" w:hAnsi="Times New Roman" w:cs="Times New Roman"/>
          <w:sz w:val="24"/>
          <w:szCs w:val="24"/>
          <w:lang w:val="en-US"/>
        </w:rPr>
        <w:t xml:space="preserve">xcess </w:t>
      </w:r>
      <w:r w:rsidR="003F041D">
        <w:rPr>
          <w:rFonts w:ascii="Times New Roman" w:hAnsi="Times New Roman" w:cs="Times New Roman"/>
          <w:sz w:val="24"/>
          <w:szCs w:val="24"/>
          <w:lang w:val="en-US"/>
        </w:rPr>
        <w:t>D</w:t>
      </w:r>
      <w:r>
        <w:rPr>
          <w:rFonts w:ascii="Times New Roman" w:hAnsi="Times New Roman" w:cs="Times New Roman"/>
          <w:sz w:val="24"/>
          <w:szCs w:val="24"/>
          <w:lang w:val="en-US"/>
        </w:rPr>
        <w:t xml:space="preserve">eaths”).  The </w:t>
      </w:r>
      <w:proofErr w:type="spellStart"/>
      <w:r>
        <w:rPr>
          <w:rFonts w:ascii="Times New Roman" w:hAnsi="Times New Roman" w:cs="Times New Roman"/>
          <w:sz w:val="24"/>
          <w:szCs w:val="24"/>
          <w:lang w:val="en-US"/>
        </w:rPr>
        <w:t>Euromomo</w:t>
      </w:r>
      <w:proofErr w:type="spellEnd"/>
      <w:r>
        <w:rPr>
          <w:rFonts w:ascii="Times New Roman" w:hAnsi="Times New Roman" w:cs="Times New Roman"/>
          <w:sz w:val="24"/>
          <w:szCs w:val="24"/>
          <w:lang w:val="en-US"/>
        </w:rPr>
        <w:t xml:space="preserve"> Network has done so and estimated the number of deaths across 18 European countries progressively through 2020, 2019 and 2018 relative to a prediction (“baseline”).  </w:t>
      </w:r>
      <w:r w:rsidR="002E747A">
        <w:rPr>
          <w:rFonts w:ascii="Times New Roman" w:hAnsi="Times New Roman" w:cs="Times New Roman"/>
          <w:sz w:val="24"/>
          <w:szCs w:val="24"/>
          <w:lang w:val="en-US"/>
        </w:rPr>
        <w:t xml:space="preserve">The Excess Deaths for 2020 exhibit sharp increases in March-April and November-December, consistent with the pandemic.  </w:t>
      </w:r>
      <w:r>
        <w:rPr>
          <w:rFonts w:ascii="Times New Roman" w:hAnsi="Times New Roman" w:cs="Times New Roman"/>
          <w:sz w:val="24"/>
          <w:szCs w:val="24"/>
          <w:lang w:val="en-US"/>
        </w:rPr>
        <w:t xml:space="preserve">The </w:t>
      </w:r>
      <w:r w:rsidR="00657678">
        <w:rPr>
          <w:rFonts w:ascii="Times New Roman" w:hAnsi="Times New Roman" w:cs="Times New Roman"/>
          <w:sz w:val="24"/>
          <w:szCs w:val="24"/>
          <w:lang w:val="en-US"/>
        </w:rPr>
        <w:t>E</w:t>
      </w:r>
      <w:r>
        <w:rPr>
          <w:rFonts w:ascii="Times New Roman" w:hAnsi="Times New Roman" w:cs="Times New Roman"/>
          <w:sz w:val="24"/>
          <w:szCs w:val="24"/>
          <w:lang w:val="en-US"/>
        </w:rPr>
        <w:t xml:space="preserve">xcess </w:t>
      </w:r>
      <w:r w:rsidR="00657678">
        <w:rPr>
          <w:rFonts w:ascii="Times New Roman" w:hAnsi="Times New Roman" w:cs="Times New Roman"/>
          <w:sz w:val="24"/>
          <w:szCs w:val="24"/>
          <w:lang w:val="en-US"/>
        </w:rPr>
        <w:t>D</w:t>
      </w:r>
      <w:r>
        <w:rPr>
          <w:rFonts w:ascii="Times New Roman" w:hAnsi="Times New Roman" w:cs="Times New Roman"/>
          <w:sz w:val="24"/>
          <w:szCs w:val="24"/>
          <w:lang w:val="en-US"/>
        </w:rPr>
        <w:t>eaths to 31 December relative to the baseline are 290,000 for 2020 (from 15 February when the first Covid-19 death occurred in any of these 18 countries), 70,000 for 2019 and 115,000 for 2018.</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By contrast, the deaths attributed to Covid-19 across these 18 countries (to 31 December) were 334,000.</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Thus, if the baseline were used, the </w:t>
      </w:r>
      <w:r w:rsidR="003F041D">
        <w:rPr>
          <w:rFonts w:ascii="Times New Roman" w:hAnsi="Times New Roman" w:cs="Times New Roman"/>
          <w:sz w:val="24"/>
          <w:szCs w:val="24"/>
          <w:lang w:val="en-US"/>
        </w:rPr>
        <w:t>E</w:t>
      </w:r>
      <w:r>
        <w:rPr>
          <w:rFonts w:ascii="Times New Roman" w:hAnsi="Times New Roman" w:cs="Times New Roman"/>
          <w:sz w:val="24"/>
          <w:szCs w:val="24"/>
          <w:lang w:val="en-US"/>
        </w:rPr>
        <w:t xml:space="preserve">xcess </w:t>
      </w:r>
      <w:r w:rsidR="003F041D">
        <w:rPr>
          <w:rFonts w:ascii="Times New Roman" w:hAnsi="Times New Roman" w:cs="Times New Roman"/>
          <w:sz w:val="24"/>
          <w:szCs w:val="24"/>
          <w:lang w:val="en-US"/>
        </w:rPr>
        <w:t>D</w:t>
      </w:r>
      <w:r>
        <w:rPr>
          <w:rFonts w:ascii="Times New Roman" w:hAnsi="Times New Roman" w:cs="Times New Roman"/>
          <w:sz w:val="24"/>
          <w:szCs w:val="24"/>
          <w:lang w:val="en-US"/>
        </w:rPr>
        <w:t xml:space="preserve">eaths in 2020 would be 290,000 and therefore the deaths attributed to Covid-19 of 334,000 would be too high by 15%.  However, the baseline is an imperfect prediction, as evidenced by the results for 2018 and 2019 (which would be zero if the predictions were accurate).  This is simply a consequence of the fact that deaths in </w:t>
      </w:r>
      <w:r w:rsidR="00C1262F">
        <w:rPr>
          <w:rFonts w:ascii="Times New Roman" w:hAnsi="Times New Roman" w:cs="Times New Roman"/>
          <w:sz w:val="24"/>
          <w:szCs w:val="24"/>
          <w:lang w:val="en-US"/>
        </w:rPr>
        <w:t xml:space="preserve">these countries in </w:t>
      </w:r>
      <w:r>
        <w:rPr>
          <w:rFonts w:ascii="Times New Roman" w:hAnsi="Times New Roman" w:cs="Times New Roman"/>
          <w:sz w:val="24"/>
          <w:szCs w:val="24"/>
          <w:lang w:val="en-US"/>
        </w:rPr>
        <w:t>a typical year are about 3m, so that the prediction error of 115,000 for 2018 is a small proportion.</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All of this suggests that the deaths attributed to Covid-19 are approximately correct.  </w:t>
      </w:r>
    </w:p>
    <w:p w14:paraId="78531538" w14:textId="77777777" w:rsidR="00981268" w:rsidRDefault="00981268" w:rsidP="000B7E7F">
      <w:pPr>
        <w:spacing w:after="0" w:line="360" w:lineRule="auto"/>
        <w:jc w:val="both"/>
        <w:rPr>
          <w:rFonts w:ascii="Times New Roman" w:hAnsi="Times New Roman" w:cs="Times New Roman"/>
          <w:sz w:val="24"/>
          <w:szCs w:val="24"/>
          <w:lang w:val="en-US"/>
        </w:rPr>
      </w:pPr>
    </w:p>
    <w:p w14:paraId="2661EF4B" w14:textId="77777777" w:rsidR="000C219B" w:rsidRDefault="00EF298F"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summary, the estimated deaths in Australia had it followed a mitigation strategy are </w:t>
      </w:r>
      <w:r w:rsidR="00725494">
        <w:rPr>
          <w:rFonts w:ascii="Times New Roman" w:hAnsi="Times New Roman" w:cs="Times New Roman"/>
          <w:sz w:val="24"/>
          <w:szCs w:val="24"/>
          <w:lang w:val="en-US"/>
        </w:rPr>
        <w:t xml:space="preserve">5,000 - </w:t>
      </w:r>
      <w:r>
        <w:rPr>
          <w:rFonts w:ascii="Times New Roman" w:hAnsi="Times New Roman" w:cs="Times New Roman"/>
          <w:sz w:val="24"/>
          <w:szCs w:val="24"/>
          <w:lang w:val="en-US"/>
        </w:rPr>
        <w:t>18,000</w:t>
      </w:r>
      <w:r w:rsidR="00B102F0">
        <w:rPr>
          <w:rFonts w:ascii="Times New Roman" w:hAnsi="Times New Roman" w:cs="Times New Roman"/>
          <w:sz w:val="24"/>
          <w:szCs w:val="24"/>
          <w:lang w:val="en-US"/>
        </w:rPr>
        <w:t xml:space="preserve"> up to 30 December</w:t>
      </w:r>
      <w:r>
        <w:rPr>
          <w:rFonts w:ascii="Times New Roman" w:hAnsi="Times New Roman" w:cs="Times New Roman"/>
          <w:sz w:val="24"/>
          <w:szCs w:val="24"/>
          <w:lang w:val="en-US"/>
        </w:rPr>
        <w:t xml:space="preserve">.  By contrast, deaths to 30 December under a lockdown policy have been almost 1,000.  So, the extra deaths resulting from a mitigation rather than a lockdown policy would be </w:t>
      </w:r>
      <w:r w:rsidR="00725494">
        <w:rPr>
          <w:rFonts w:ascii="Times New Roman" w:hAnsi="Times New Roman" w:cs="Times New Roman"/>
          <w:sz w:val="24"/>
          <w:szCs w:val="24"/>
          <w:lang w:val="en-US"/>
        </w:rPr>
        <w:t xml:space="preserve">4,000 - </w:t>
      </w:r>
      <w:r>
        <w:rPr>
          <w:rFonts w:ascii="Times New Roman" w:hAnsi="Times New Roman" w:cs="Times New Roman"/>
          <w:sz w:val="24"/>
          <w:szCs w:val="24"/>
          <w:lang w:val="en-US"/>
        </w:rPr>
        <w:t>17,000</w:t>
      </w:r>
      <w:r w:rsidR="00B91B13">
        <w:rPr>
          <w:rFonts w:ascii="Times New Roman" w:hAnsi="Times New Roman" w:cs="Times New Roman"/>
          <w:sz w:val="24"/>
          <w:szCs w:val="24"/>
          <w:lang w:val="en-US"/>
        </w:rPr>
        <w:t xml:space="preserve">.  This analysis </w:t>
      </w:r>
      <w:r w:rsidR="000C219B">
        <w:rPr>
          <w:rFonts w:ascii="Times New Roman" w:hAnsi="Times New Roman" w:cs="Times New Roman"/>
          <w:sz w:val="24"/>
          <w:szCs w:val="24"/>
          <w:lang w:val="en-US"/>
        </w:rPr>
        <w:t>provides an estimate of the death</w:t>
      </w:r>
      <w:r w:rsidR="002D66C4">
        <w:rPr>
          <w:rFonts w:ascii="Times New Roman" w:hAnsi="Times New Roman" w:cs="Times New Roman"/>
          <w:sz w:val="24"/>
          <w:szCs w:val="24"/>
          <w:lang w:val="en-US"/>
        </w:rPr>
        <w:t xml:space="preserve">s </w:t>
      </w:r>
      <w:r w:rsidR="000C219B">
        <w:rPr>
          <w:rFonts w:ascii="Times New Roman" w:hAnsi="Times New Roman" w:cs="Times New Roman"/>
          <w:sz w:val="24"/>
          <w:szCs w:val="24"/>
          <w:lang w:val="en-US"/>
        </w:rPr>
        <w:t>Australia would have suffered had it pursued a mitigation policy, but only deaths up to 30 December are estimated and there wil</w:t>
      </w:r>
      <w:r w:rsidR="00065EF9">
        <w:rPr>
          <w:rFonts w:ascii="Times New Roman" w:hAnsi="Times New Roman" w:cs="Times New Roman"/>
          <w:sz w:val="24"/>
          <w:szCs w:val="24"/>
          <w:lang w:val="en-US"/>
        </w:rPr>
        <w:t xml:space="preserve">l be more deaths to come until </w:t>
      </w:r>
      <w:r w:rsidR="000C219B">
        <w:rPr>
          <w:rFonts w:ascii="Times New Roman" w:hAnsi="Times New Roman" w:cs="Times New Roman"/>
          <w:sz w:val="24"/>
          <w:szCs w:val="24"/>
          <w:lang w:val="en-US"/>
        </w:rPr>
        <w:t>mass vaccination is achieved.</w:t>
      </w:r>
      <w:r w:rsidR="001A7D2A">
        <w:rPr>
          <w:rStyle w:val="FootnoteReference"/>
          <w:rFonts w:ascii="Times New Roman" w:hAnsi="Times New Roman" w:cs="Times New Roman"/>
          <w:sz w:val="24"/>
          <w:szCs w:val="24"/>
          <w:lang w:val="en-US"/>
        </w:rPr>
        <w:footnoteReference w:id="12"/>
      </w:r>
      <w:r w:rsidR="00A84095">
        <w:rPr>
          <w:rFonts w:ascii="Times New Roman" w:hAnsi="Times New Roman" w:cs="Times New Roman"/>
          <w:sz w:val="24"/>
          <w:szCs w:val="24"/>
          <w:lang w:val="en-US"/>
        </w:rPr>
        <w:t xml:space="preserve">  Letting </w:t>
      </w:r>
      <w:r w:rsidR="00A84095" w:rsidRPr="006150AA">
        <w:rPr>
          <w:rFonts w:ascii="Times New Roman" w:hAnsi="Times New Roman" w:cs="Times New Roman"/>
          <w:i/>
          <w:sz w:val="24"/>
          <w:szCs w:val="24"/>
          <w:lang w:val="en-US"/>
        </w:rPr>
        <w:t>N</w:t>
      </w:r>
      <w:r w:rsidR="00A84095">
        <w:rPr>
          <w:rFonts w:ascii="Times New Roman" w:hAnsi="Times New Roman" w:cs="Times New Roman"/>
          <w:sz w:val="24"/>
          <w:szCs w:val="24"/>
          <w:lang w:val="en-US"/>
        </w:rPr>
        <w:t xml:space="preserve"> denote the covid-19 deaths in the European countries </w:t>
      </w:r>
      <w:r w:rsidR="0077183A">
        <w:rPr>
          <w:rFonts w:ascii="Times New Roman" w:hAnsi="Times New Roman" w:cs="Times New Roman"/>
          <w:sz w:val="24"/>
          <w:szCs w:val="24"/>
          <w:lang w:val="en-US"/>
        </w:rPr>
        <w:t xml:space="preserve">up to the end of the pandemic </w:t>
      </w:r>
      <w:r w:rsidR="006E74D5">
        <w:rPr>
          <w:rFonts w:ascii="Times New Roman" w:hAnsi="Times New Roman" w:cs="Times New Roman"/>
          <w:sz w:val="24"/>
          <w:szCs w:val="24"/>
          <w:lang w:val="en-US"/>
        </w:rPr>
        <w:t xml:space="preserve">divided by the </w:t>
      </w:r>
      <w:r w:rsidR="00A84095">
        <w:rPr>
          <w:rFonts w:ascii="Times New Roman" w:hAnsi="Times New Roman" w:cs="Times New Roman"/>
          <w:sz w:val="24"/>
          <w:szCs w:val="24"/>
          <w:lang w:val="en-US"/>
        </w:rPr>
        <w:t xml:space="preserve">deaths </w:t>
      </w:r>
      <w:r w:rsidR="0077183A">
        <w:rPr>
          <w:rFonts w:ascii="Times New Roman" w:hAnsi="Times New Roman" w:cs="Times New Roman"/>
          <w:sz w:val="24"/>
          <w:szCs w:val="24"/>
          <w:lang w:val="en-US"/>
        </w:rPr>
        <w:t xml:space="preserve">until </w:t>
      </w:r>
      <w:r w:rsidR="00A84095">
        <w:rPr>
          <w:rFonts w:ascii="Times New Roman" w:hAnsi="Times New Roman" w:cs="Times New Roman"/>
          <w:sz w:val="24"/>
          <w:szCs w:val="24"/>
          <w:lang w:val="en-US"/>
        </w:rPr>
        <w:t xml:space="preserve">December 30, the </w:t>
      </w:r>
      <w:r w:rsidR="00EC50C2">
        <w:rPr>
          <w:rFonts w:ascii="Times New Roman" w:hAnsi="Times New Roman" w:cs="Times New Roman"/>
          <w:sz w:val="24"/>
          <w:szCs w:val="24"/>
          <w:lang w:val="en-US"/>
        </w:rPr>
        <w:t>extra deaths resulting from a mitigation rather than a lockdown policy would be up to 17,000</w:t>
      </w:r>
      <w:r w:rsidR="00EC50C2" w:rsidRPr="00EC50C2">
        <w:rPr>
          <w:rFonts w:ascii="Times New Roman" w:hAnsi="Times New Roman" w:cs="Times New Roman"/>
          <w:i/>
          <w:sz w:val="24"/>
          <w:szCs w:val="24"/>
          <w:lang w:val="en-US"/>
        </w:rPr>
        <w:t>N</w:t>
      </w:r>
      <w:r w:rsidR="00EC50C2">
        <w:rPr>
          <w:rFonts w:ascii="Times New Roman" w:hAnsi="Times New Roman" w:cs="Times New Roman"/>
          <w:sz w:val="24"/>
          <w:szCs w:val="24"/>
          <w:lang w:val="en-US"/>
        </w:rPr>
        <w:t xml:space="preserve">.  </w:t>
      </w:r>
      <w:r w:rsidR="006150AA">
        <w:rPr>
          <w:rFonts w:ascii="Times New Roman" w:hAnsi="Times New Roman" w:cs="Times New Roman"/>
          <w:sz w:val="24"/>
          <w:szCs w:val="24"/>
          <w:lang w:val="en-US"/>
        </w:rPr>
        <w:t xml:space="preserve">Since mass vaccination has already commenced in Europe, and will presumably progressively reduce the death rate to zero over the next several months, and deaths to 30 December reflect deaths over a ten month period, a reasonable estimate of </w:t>
      </w:r>
      <w:r w:rsidR="006150AA" w:rsidRPr="006150AA">
        <w:rPr>
          <w:rFonts w:ascii="Times New Roman" w:hAnsi="Times New Roman" w:cs="Times New Roman"/>
          <w:i/>
          <w:sz w:val="24"/>
          <w:szCs w:val="24"/>
          <w:lang w:val="en-US"/>
        </w:rPr>
        <w:t>N</w:t>
      </w:r>
      <w:r w:rsidR="006150AA">
        <w:rPr>
          <w:rFonts w:ascii="Times New Roman" w:hAnsi="Times New Roman" w:cs="Times New Roman"/>
          <w:sz w:val="24"/>
          <w:szCs w:val="24"/>
          <w:lang w:val="en-US"/>
        </w:rPr>
        <w:t xml:space="preserve"> </w:t>
      </w:r>
      <w:r w:rsidR="006D6B49">
        <w:rPr>
          <w:rFonts w:ascii="Times New Roman" w:hAnsi="Times New Roman" w:cs="Times New Roman"/>
          <w:sz w:val="24"/>
          <w:szCs w:val="24"/>
          <w:lang w:val="en-US"/>
        </w:rPr>
        <w:t>would be less than 2</w:t>
      </w:r>
      <w:r w:rsidR="000F3D9B">
        <w:rPr>
          <w:rFonts w:ascii="Times New Roman" w:hAnsi="Times New Roman" w:cs="Times New Roman"/>
          <w:sz w:val="24"/>
          <w:szCs w:val="24"/>
          <w:lang w:val="en-US"/>
        </w:rPr>
        <w:t>.</w:t>
      </w:r>
    </w:p>
    <w:p w14:paraId="1625E418" w14:textId="77777777" w:rsidR="008B35F9" w:rsidRDefault="008B35F9" w:rsidP="000B7E7F">
      <w:pPr>
        <w:spacing w:after="0" w:line="360" w:lineRule="auto"/>
        <w:jc w:val="both"/>
        <w:rPr>
          <w:rFonts w:ascii="Times New Roman" w:hAnsi="Times New Roman" w:cs="Times New Roman"/>
          <w:sz w:val="24"/>
          <w:szCs w:val="24"/>
          <w:lang w:val="en-US"/>
        </w:rPr>
      </w:pPr>
    </w:p>
    <w:p w14:paraId="46AC2A03" w14:textId="77777777" w:rsidR="00024811" w:rsidRPr="00024811" w:rsidRDefault="00024811" w:rsidP="000B7E7F">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2.2 Quality Adjusted Life Years</w:t>
      </w:r>
    </w:p>
    <w:p w14:paraId="55D47EE5" w14:textId="77777777" w:rsidR="00024811" w:rsidRDefault="002D66C4"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assessing the merits of health interventions, the </w:t>
      </w:r>
      <w:r w:rsidR="00024811">
        <w:rPr>
          <w:rFonts w:ascii="Times New Roman" w:hAnsi="Times New Roman" w:cs="Times New Roman"/>
          <w:sz w:val="24"/>
          <w:szCs w:val="24"/>
          <w:lang w:val="en-US"/>
        </w:rPr>
        <w:t>standard methodology amongst health economists is to multiply the expected lives saved from a health intervention by the average residual life span of the victims</w:t>
      </w:r>
      <w:r w:rsidR="00E7475C">
        <w:rPr>
          <w:rFonts w:ascii="Times New Roman" w:hAnsi="Times New Roman" w:cs="Times New Roman"/>
          <w:sz w:val="24"/>
          <w:szCs w:val="24"/>
          <w:lang w:val="en-US"/>
        </w:rPr>
        <w:t xml:space="preserve"> sans intervention</w:t>
      </w:r>
      <w:r w:rsidR="00024811">
        <w:rPr>
          <w:rFonts w:ascii="Times New Roman" w:hAnsi="Times New Roman" w:cs="Times New Roman"/>
          <w:sz w:val="24"/>
          <w:szCs w:val="24"/>
          <w:lang w:val="en-US"/>
        </w:rPr>
        <w:t>, to yield the “Life Years” saved by the intervention, followed by some discount if the quality of these life years saved would be less than that of a normal healthy person.  The result is called the Quality Adjusted Life Years (QALY) saved by the intervention</w:t>
      </w:r>
      <w:r w:rsidR="00362AC6">
        <w:rPr>
          <w:rFonts w:ascii="Times New Roman" w:hAnsi="Times New Roman" w:cs="Times New Roman"/>
          <w:sz w:val="24"/>
          <w:szCs w:val="24"/>
          <w:lang w:val="en-US"/>
        </w:rPr>
        <w:t>, which is then compared to a benchmark figure</w:t>
      </w:r>
      <w:r w:rsidR="00024811">
        <w:rPr>
          <w:rFonts w:ascii="Times New Roman" w:hAnsi="Times New Roman" w:cs="Times New Roman"/>
          <w:sz w:val="24"/>
          <w:szCs w:val="24"/>
          <w:lang w:val="en-US"/>
        </w:rPr>
        <w:t>.</w:t>
      </w:r>
    </w:p>
    <w:p w14:paraId="5414EDCF" w14:textId="77777777" w:rsidR="009557B6" w:rsidRDefault="009557B6" w:rsidP="000B7E7F">
      <w:pPr>
        <w:spacing w:after="0" w:line="360" w:lineRule="auto"/>
        <w:jc w:val="both"/>
        <w:rPr>
          <w:rFonts w:ascii="Times New Roman" w:hAnsi="Times New Roman" w:cs="Times New Roman"/>
          <w:sz w:val="24"/>
          <w:szCs w:val="24"/>
          <w:lang w:val="en-US"/>
        </w:rPr>
      </w:pPr>
    </w:p>
    <w:p w14:paraId="41F3F724" w14:textId="77777777" w:rsidR="00A515F2" w:rsidRDefault="00AD282E" w:rsidP="009557B6">
      <w:pPr>
        <w:pStyle w:val="FootnoteText"/>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Kompas</w:t>
      </w:r>
      <w:proofErr w:type="spellEnd"/>
      <w:r>
        <w:rPr>
          <w:rFonts w:ascii="Times New Roman" w:hAnsi="Times New Roman" w:cs="Times New Roman"/>
          <w:sz w:val="24"/>
          <w:szCs w:val="24"/>
          <w:lang w:val="en-US"/>
        </w:rPr>
        <w:t xml:space="preserve"> et al (20290, page 8) estimates the average residual life expectancy of the victims at 6.9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 xml:space="preserve">, by comparison of the average age of the </w:t>
      </w:r>
      <w:r w:rsidR="005A1597">
        <w:rPr>
          <w:rFonts w:ascii="Times New Roman" w:hAnsi="Times New Roman" w:cs="Times New Roman"/>
          <w:sz w:val="24"/>
          <w:szCs w:val="24"/>
          <w:lang w:val="en-US"/>
        </w:rPr>
        <w:t xml:space="preserve">Australian </w:t>
      </w:r>
      <w:r>
        <w:rPr>
          <w:rFonts w:ascii="Times New Roman" w:hAnsi="Times New Roman" w:cs="Times New Roman"/>
          <w:sz w:val="24"/>
          <w:szCs w:val="24"/>
          <w:lang w:val="en-US"/>
        </w:rPr>
        <w:t xml:space="preserve">victims </w:t>
      </w:r>
      <w:r w:rsidR="00A515F2">
        <w:rPr>
          <w:rFonts w:ascii="Times New Roman" w:hAnsi="Times New Roman" w:cs="Times New Roman"/>
          <w:sz w:val="24"/>
          <w:szCs w:val="24"/>
          <w:lang w:val="en-US"/>
        </w:rPr>
        <w:t xml:space="preserve">(75.6) </w:t>
      </w:r>
      <w:r>
        <w:rPr>
          <w:rFonts w:ascii="Times New Roman" w:hAnsi="Times New Roman" w:cs="Times New Roman"/>
          <w:sz w:val="24"/>
          <w:szCs w:val="24"/>
          <w:lang w:val="en-US"/>
        </w:rPr>
        <w:t>with the life expectancy of Australians at birth</w:t>
      </w:r>
      <w:r w:rsidR="00A515F2">
        <w:rPr>
          <w:rFonts w:ascii="Times New Roman" w:hAnsi="Times New Roman" w:cs="Times New Roman"/>
          <w:sz w:val="24"/>
          <w:szCs w:val="24"/>
          <w:lang w:val="en-US"/>
        </w:rPr>
        <w:t xml:space="preserve"> (82.5)</w:t>
      </w:r>
      <w:r>
        <w:rPr>
          <w:rFonts w:ascii="Times New Roman" w:hAnsi="Times New Roman" w:cs="Times New Roman"/>
          <w:sz w:val="24"/>
          <w:szCs w:val="24"/>
          <w:lang w:val="en-US"/>
        </w:rPr>
        <w:t xml:space="preserve">.  </w:t>
      </w:r>
      <w:r w:rsidR="00A515F2">
        <w:rPr>
          <w:rFonts w:ascii="Times New Roman" w:hAnsi="Times New Roman" w:cs="Times New Roman"/>
          <w:sz w:val="24"/>
          <w:szCs w:val="24"/>
          <w:lang w:val="en-US"/>
        </w:rPr>
        <w:t xml:space="preserve">Such an estimate </w:t>
      </w:r>
      <w:r w:rsidR="00796A58">
        <w:rPr>
          <w:rFonts w:ascii="Times New Roman" w:hAnsi="Times New Roman" w:cs="Times New Roman"/>
          <w:sz w:val="24"/>
          <w:szCs w:val="24"/>
          <w:lang w:val="en-US"/>
        </w:rPr>
        <w:t xml:space="preserve">does not </w:t>
      </w:r>
      <w:r w:rsidR="00A515F2">
        <w:rPr>
          <w:rFonts w:ascii="Times New Roman" w:hAnsi="Times New Roman" w:cs="Times New Roman"/>
          <w:sz w:val="24"/>
          <w:szCs w:val="24"/>
          <w:lang w:val="en-US"/>
        </w:rPr>
        <w:t xml:space="preserve">recognize that </w:t>
      </w:r>
      <w:r w:rsidR="00B848A8">
        <w:rPr>
          <w:rFonts w:ascii="Times New Roman" w:hAnsi="Times New Roman" w:cs="Times New Roman"/>
          <w:sz w:val="24"/>
          <w:szCs w:val="24"/>
          <w:lang w:val="en-US"/>
        </w:rPr>
        <w:t>the set of people</w:t>
      </w:r>
      <w:r w:rsidR="00A515F2">
        <w:rPr>
          <w:rFonts w:ascii="Times New Roman" w:hAnsi="Times New Roman" w:cs="Times New Roman"/>
          <w:sz w:val="24"/>
          <w:szCs w:val="24"/>
          <w:lang w:val="en-US"/>
        </w:rPr>
        <w:t xml:space="preserve"> who reach the age of 75.6 excludes those who have died at an earlier age and therefore </w:t>
      </w:r>
      <w:r w:rsidR="00B848A8">
        <w:rPr>
          <w:rFonts w:ascii="Times New Roman" w:hAnsi="Times New Roman" w:cs="Times New Roman"/>
          <w:sz w:val="24"/>
          <w:szCs w:val="24"/>
          <w:lang w:val="en-US"/>
        </w:rPr>
        <w:t xml:space="preserve">this set </w:t>
      </w:r>
      <w:r w:rsidR="00A515F2">
        <w:rPr>
          <w:rFonts w:ascii="Times New Roman" w:hAnsi="Times New Roman" w:cs="Times New Roman"/>
          <w:sz w:val="24"/>
          <w:szCs w:val="24"/>
          <w:lang w:val="en-US"/>
        </w:rPr>
        <w:t xml:space="preserve">will have </w:t>
      </w:r>
      <w:r w:rsidR="00B848A8">
        <w:rPr>
          <w:rFonts w:ascii="Times New Roman" w:hAnsi="Times New Roman" w:cs="Times New Roman"/>
          <w:sz w:val="24"/>
          <w:szCs w:val="24"/>
          <w:lang w:val="en-US"/>
        </w:rPr>
        <w:t>an average r</w:t>
      </w:r>
      <w:r w:rsidR="00A515F2">
        <w:rPr>
          <w:rFonts w:ascii="Times New Roman" w:hAnsi="Times New Roman" w:cs="Times New Roman"/>
          <w:sz w:val="24"/>
          <w:szCs w:val="24"/>
          <w:lang w:val="en-US"/>
        </w:rPr>
        <w:t xml:space="preserve">esidual life expectancy greater than 6.9 yrs.  </w:t>
      </w:r>
      <w:r w:rsidR="009A6612">
        <w:rPr>
          <w:rFonts w:ascii="Times New Roman" w:hAnsi="Times New Roman" w:cs="Times New Roman"/>
          <w:sz w:val="24"/>
          <w:szCs w:val="24"/>
          <w:lang w:val="en-US"/>
        </w:rPr>
        <w:t xml:space="preserve">The </w:t>
      </w:r>
      <w:r w:rsidR="00ED206F">
        <w:rPr>
          <w:rFonts w:ascii="Times New Roman" w:hAnsi="Times New Roman" w:cs="Times New Roman"/>
          <w:sz w:val="24"/>
          <w:szCs w:val="24"/>
          <w:lang w:val="en-US"/>
        </w:rPr>
        <w:t xml:space="preserve">corrected estimate </w:t>
      </w:r>
      <w:r w:rsidR="00A515F2">
        <w:rPr>
          <w:rFonts w:ascii="Times New Roman" w:hAnsi="Times New Roman" w:cs="Times New Roman"/>
          <w:sz w:val="24"/>
          <w:szCs w:val="24"/>
          <w:lang w:val="en-US"/>
        </w:rPr>
        <w:t xml:space="preserve">will </w:t>
      </w:r>
      <w:r w:rsidR="009A6612">
        <w:rPr>
          <w:rFonts w:ascii="Times New Roman" w:hAnsi="Times New Roman" w:cs="Times New Roman"/>
          <w:sz w:val="24"/>
          <w:szCs w:val="24"/>
          <w:lang w:val="en-US"/>
        </w:rPr>
        <w:t xml:space="preserve">then be too </w:t>
      </w:r>
      <w:r w:rsidR="00A515F2">
        <w:rPr>
          <w:rFonts w:ascii="Times New Roman" w:hAnsi="Times New Roman" w:cs="Times New Roman"/>
          <w:sz w:val="24"/>
          <w:szCs w:val="24"/>
          <w:lang w:val="en-US"/>
        </w:rPr>
        <w:t xml:space="preserve">high because it does not recognize that covid-19 victims are unusually unwell relative to those of age 75.6 in general.  </w:t>
      </w:r>
      <w:r w:rsidR="00AC20D6">
        <w:rPr>
          <w:rFonts w:ascii="Times New Roman" w:hAnsi="Times New Roman" w:cs="Times New Roman"/>
          <w:sz w:val="24"/>
          <w:szCs w:val="24"/>
          <w:lang w:val="en-US"/>
        </w:rPr>
        <w:t xml:space="preserve">Blakely and Wilson (2020) </w:t>
      </w:r>
      <w:r w:rsidR="003328D3">
        <w:rPr>
          <w:rFonts w:ascii="Times New Roman" w:hAnsi="Times New Roman" w:cs="Times New Roman"/>
          <w:sz w:val="24"/>
          <w:szCs w:val="24"/>
          <w:lang w:val="en-US"/>
        </w:rPr>
        <w:t xml:space="preserve">adopt an </w:t>
      </w:r>
      <w:r w:rsidR="009557B6">
        <w:rPr>
          <w:rFonts w:ascii="Times New Roman" w:hAnsi="Times New Roman" w:cs="Times New Roman"/>
          <w:sz w:val="24"/>
          <w:szCs w:val="24"/>
          <w:lang w:val="en-US"/>
        </w:rPr>
        <w:t xml:space="preserve">average residual life expectancy </w:t>
      </w:r>
      <w:r w:rsidR="00AC20D6">
        <w:rPr>
          <w:rFonts w:ascii="Times New Roman" w:hAnsi="Times New Roman" w:cs="Times New Roman"/>
          <w:sz w:val="24"/>
          <w:szCs w:val="24"/>
          <w:lang w:val="en-US"/>
        </w:rPr>
        <w:t xml:space="preserve">for </w:t>
      </w:r>
      <w:r w:rsidR="009557B6">
        <w:rPr>
          <w:rFonts w:ascii="Times New Roman" w:hAnsi="Times New Roman" w:cs="Times New Roman"/>
          <w:sz w:val="24"/>
          <w:szCs w:val="24"/>
          <w:lang w:val="en-US"/>
        </w:rPr>
        <w:t xml:space="preserve">the victims </w:t>
      </w:r>
      <w:r w:rsidR="00AC20D6">
        <w:rPr>
          <w:rFonts w:ascii="Times New Roman" w:hAnsi="Times New Roman" w:cs="Times New Roman"/>
          <w:sz w:val="24"/>
          <w:szCs w:val="24"/>
          <w:lang w:val="en-US"/>
        </w:rPr>
        <w:t xml:space="preserve">of </w:t>
      </w:r>
      <w:r w:rsidR="009557B6">
        <w:rPr>
          <w:rFonts w:ascii="Times New Roman" w:hAnsi="Times New Roman" w:cs="Times New Roman"/>
          <w:sz w:val="24"/>
          <w:szCs w:val="24"/>
          <w:lang w:val="en-US"/>
        </w:rPr>
        <w:t xml:space="preserve">five years, but provide no supporting evidence.  </w:t>
      </w:r>
      <w:r w:rsidR="003328D3">
        <w:rPr>
          <w:rFonts w:ascii="Times New Roman" w:hAnsi="Times New Roman" w:cs="Times New Roman"/>
          <w:sz w:val="24"/>
          <w:szCs w:val="24"/>
          <w:lang w:val="en-US"/>
        </w:rPr>
        <w:t xml:space="preserve">Foster (2020) does likewise.  </w:t>
      </w:r>
    </w:p>
    <w:p w14:paraId="475CEADB" w14:textId="77777777" w:rsidR="00A515F2" w:rsidRDefault="00A515F2" w:rsidP="009557B6">
      <w:pPr>
        <w:pStyle w:val="FootnoteText"/>
        <w:spacing w:line="360" w:lineRule="auto"/>
        <w:jc w:val="both"/>
        <w:rPr>
          <w:rFonts w:ascii="Times New Roman" w:hAnsi="Times New Roman" w:cs="Times New Roman"/>
          <w:sz w:val="24"/>
          <w:szCs w:val="24"/>
          <w:lang w:val="en-US"/>
        </w:rPr>
      </w:pPr>
    </w:p>
    <w:p w14:paraId="52AAB809"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Analysis of European data supports this</w:t>
      </w:r>
      <w:r w:rsidR="00F46FE5">
        <w:rPr>
          <w:rFonts w:ascii="Times New Roman" w:hAnsi="Times New Roman" w:cs="Times New Roman"/>
          <w:sz w:val="24"/>
          <w:szCs w:val="24"/>
          <w:lang w:val="en-US"/>
        </w:rPr>
        <w:t xml:space="preserve"> figure of five years</w:t>
      </w:r>
      <w:r>
        <w:rPr>
          <w:rFonts w:ascii="Times New Roman" w:hAnsi="Times New Roman" w:cs="Times New Roman"/>
          <w:sz w:val="24"/>
          <w:szCs w:val="24"/>
          <w:lang w:val="en-US"/>
        </w:rPr>
        <w:t>.  I illustrate this with Sweden</w:t>
      </w:r>
      <w:r w:rsidR="007C3C42">
        <w:rPr>
          <w:rFonts w:ascii="Times New Roman" w:hAnsi="Times New Roman" w:cs="Times New Roman"/>
          <w:sz w:val="24"/>
          <w:szCs w:val="24"/>
          <w:lang w:val="en-US"/>
        </w:rPr>
        <w:t>, which adopted a mitigation policy and incurred the highest death rate amongst countries that did so</w:t>
      </w:r>
      <w:r>
        <w:rPr>
          <w:rFonts w:ascii="Times New Roman" w:hAnsi="Times New Roman" w:cs="Times New Roman"/>
          <w:sz w:val="24"/>
          <w:szCs w:val="24"/>
          <w:lang w:val="en-US"/>
        </w:rPr>
        <w:t xml:space="preserve">.  The age distribution of the </w:t>
      </w:r>
      <w:r w:rsidR="00F46FE5">
        <w:rPr>
          <w:rFonts w:ascii="Times New Roman" w:hAnsi="Times New Roman" w:cs="Times New Roman"/>
          <w:sz w:val="24"/>
          <w:szCs w:val="24"/>
          <w:lang w:val="en-US"/>
        </w:rPr>
        <w:t>C</w:t>
      </w:r>
      <w:r>
        <w:rPr>
          <w:rFonts w:ascii="Times New Roman" w:hAnsi="Times New Roman" w:cs="Times New Roman"/>
          <w:sz w:val="24"/>
          <w:szCs w:val="24"/>
          <w:lang w:val="en-US"/>
        </w:rPr>
        <w:t xml:space="preserve">ovid-19 victims is shown in the first two columns of Table 1, and the residual life expectancy (RLE) of Swedish people in each such age group is shown in the third column.  Using this data, the average residual life expectancy of Swedish </w:t>
      </w:r>
      <w:r w:rsidR="003328D3">
        <w:rPr>
          <w:rFonts w:ascii="Times New Roman" w:hAnsi="Times New Roman" w:cs="Times New Roman"/>
          <w:sz w:val="24"/>
          <w:szCs w:val="24"/>
          <w:lang w:val="en-US"/>
        </w:rPr>
        <w:t xml:space="preserve">people with the same age distribution as the </w:t>
      </w:r>
      <w:r w:rsidR="00F46FE5">
        <w:rPr>
          <w:rFonts w:ascii="Times New Roman" w:hAnsi="Times New Roman" w:cs="Times New Roman"/>
          <w:sz w:val="24"/>
          <w:szCs w:val="24"/>
          <w:lang w:val="en-US"/>
        </w:rPr>
        <w:t>C</w:t>
      </w:r>
      <w:r>
        <w:rPr>
          <w:rFonts w:ascii="Times New Roman" w:hAnsi="Times New Roman" w:cs="Times New Roman"/>
          <w:sz w:val="24"/>
          <w:szCs w:val="24"/>
          <w:lang w:val="en-US"/>
        </w:rPr>
        <w:t xml:space="preserve">ovid-19 </w:t>
      </w:r>
      <w:r w:rsidR="003328D3">
        <w:rPr>
          <w:rFonts w:ascii="Times New Roman" w:hAnsi="Times New Roman" w:cs="Times New Roman"/>
          <w:sz w:val="24"/>
          <w:szCs w:val="24"/>
          <w:lang w:val="en-US"/>
        </w:rPr>
        <w:t xml:space="preserve">victims </w:t>
      </w:r>
      <w:r>
        <w:rPr>
          <w:rFonts w:ascii="Times New Roman" w:hAnsi="Times New Roman" w:cs="Times New Roman"/>
          <w:sz w:val="24"/>
          <w:szCs w:val="24"/>
          <w:lang w:val="en-US"/>
        </w:rPr>
        <w:t>is 10.9 years.</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However, </w:t>
      </w:r>
      <w:r w:rsidR="00184D60">
        <w:rPr>
          <w:rFonts w:ascii="Times New Roman" w:hAnsi="Times New Roman" w:cs="Times New Roman"/>
          <w:sz w:val="24"/>
          <w:szCs w:val="24"/>
          <w:lang w:val="en-US"/>
        </w:rPr>
        <w:t xml:space="preserve">the Covid-19 victims differ from Swedish people of the same age distribution </w:t>
      </w:r>
      <w:r>
        <w:rPr>
          <w:rFonts w:ascii="Times New Roman" w:hAnsi="Times New Roman" w:cs="Times New Roman"/>
          <w:sz w:val="24"/>
          <w:szCs w:val="24"/>
          <w:lang w:val="en-US"/>
        </w:rPr>
        <w:t xml:space="preserve">in two very significant </w:t>
      </w:r>
      <w:r w:rsidR="00184D60">
        <w:rPr>
          <w:rFonts w:ascii="Times New Roman" w:hAnsi="Times New Roman" w:cs="Times New Roman"/>
          <w:sz w:val="24"/>
          <w:szCs w:val="24"/>
          <w:lang w:val="en-US"/>
        </w:rPr>
        <w:t>ways</w:t>
      </w:r>
      <w:r>
        <w:rPr>
          <w:rFonts w:ascii="Times New Roman" w:hAnsi="Times New Roman" w:cs="Times New Roman"/>
          <w:sz w:val="24"/>
          <w:szCs w:val="24"/>
          <w:lang w:val="en-US"/>
        </w:rPr>
        <w:t>.</w:t>
      </w:r>
    </w:p>
    <w:p w14:paraId="7A63215C"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4803BC6F"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of these </w:t>
      </w:r>
      <w:r w:rsidR="002E2016">
        <w:rPr>
          <w:rFonts w:ascii="Times New Roman" w:hAnsi="Times New Roman" w:cs="Times New Roman"/>
          <w:sz w:val="24"/>
          <w:szCs w:val="24"/>
          <w:lang w:val="en-US"/>
        </w:rPr>
        <w:t xml:space="preserve">differences is </w:t>
      </w:r>
      <w:r>
        <w:rPr>
          <w:rFonts w:ascii="Times New Roman" w:hAnsi="Times New Roman" w:cs="Times New Roman"/>
          <w:sz w:val="24"/>
          <w:szCs w:val="24"/>
          <w:lang w:val="en-US"/>
        </w:rPr>
        <w:t xml:space="preserve">that a large proportion of the victims were residents of nursing homes, whose average residual life expectancy sans </w:t>
      </w:r>
      <w:r w:rsidR="00F46FE5">
        <w:rPr>
          <w:rFonts w:ascii="Times New Roman" w:hAnsi="Times New Roman" w:cs="Times New Roman"/>
          <w:sz w:val="24"/>
          <w:szCs w:val="24"/>
          <w:lang w:val="en-US"/>
        </w:rPr>
        <w:t>C</w:t>
      </w:r>
      <w:r>
        <w:rPr>
          <w:rFonts w:ascii="Times New Roman" w:hAnsi="Times New Roman" w:cs="Times New Roman"/>
          <w:sz w:val="24"/>
          <w:szCs w:val="24"/>
          <w:lang w:val="en-US"/>
        </w:rPr>
        <w:t xml:space="preserve">ovid-19 was very low and might be even lower than suggested by their ages.  If so, conditioning on residency of a nursing home as well as age would reduce the average residual life expectancy of the victims.  In respect of Sweden, Stern and Klein (2020, page 5) estimate that 53% of the </w:t>
      </w:r>
      <w:r w:rsidR="00910361">
        <w:rPr>
          <w:rFonts w:ascii="Times New Roman" w:hAnsi="Times New Roman" w:cs="Times New Roman"/>
          <w:sz w:val="24"/>
          <w:szCs w:val="24"/>
          <w:lang w:val="en-US"/>
        </w:rPr>
        <w:t>C</w:t>
      </w:r>
      <w:r>
        <w:rPr>
          <w:rFonts w:ascii="Times New Roman" w:hAnsi="Times New Roman" w:cs="Times New Roman"/>
          <w:sz w:val="24"/>
          <w:szCs w:val="24"/>
          <w:lang w:val="en-US"/>
        </w:rPr>
        <w:t xml:space="preserve">ovid-19 victims aged at least 70 were residents of nursing homes, and that their average residual life span sans </w:t>
      </w:r>
      <w:r w:rsidR="00910361">
        <w:rPr>
          <w:rFonts w:ascii="Times New Roman" w:hAnsi="Times New Roman" w:cs="Times New Roman"/>
          <w:sz w:val="24"/>
          <w:szCs w:val="24"/>
          <w:lang w:val="en-US"/>
        </w:rPr>
        <w:t>C</w:t>
      </w:r>
      <w:r>
        <w:rPr>
          <w:rFonts w:ascii="Times New Roman" w:hAnsi="Times New Roman" w:cs="Times New Roman"/>
          <w:sz w:val="24"/>
          <w:szCs w:val="24"/>
          <w:lang w:val="en-US"/>
        </w:rPr>
        <w:t>ovid-19 was only seven months (ibid, pp. 16-17).  Conservatively treating this subset of victims as the oldest in Table 1, they represent the entire 85+ group (47%) plus additional victims in the 80-84 group constituting 6% of the entire set of victims (6/21 of that group).  Replacing the residual life expectancy of these people by seven months (0.6 years), the average residual life expectancy calculated from the data in Table 1 would fall to 7.7 years as shown in the fourth column of Table 1.</w:t>
      </w:r>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By contrast, if this nursing home group were spread through the 70+ groups in proportion to the size of these groups, 28% would be in the 85+ group, 13% in the 80-84 group, and 13% in the 70-79 group.  Replacing the residual life expectancy of these people by 0.6 years, the average residual life expectancy cal</w:t>
      </w:r>
      <w:r w:rsidR="0017781B">
        <w:rPr>
          <w:rFonts w:ascii="Times New Roman" w:hAnsi="Times New Roman" w:cs="Times New Roman"/>
          <w:sz w:val="24"/>
          <w:szCs w:val="24"/>
          <w:lang w:val="en-US"/>
        </w:rPr>
        <w:t>culated from the data in Table 1</w:t>
      </w:r>
      <w:r>
        <w:rPr>
          <w:rFonts w:ascii="Times New Roman" w:hAnsi="Times New Roman" w:cs="Times New Roman"/>
          <w:sz w:val="24"/>
          <w:szCs w:val="24"/>
          <w:lang w:val="en-US"/>
        </w:rPr>
        <w:t xml:space="preserve"> would fall to 6.4 years.  </w:t>
      </w:r>
    </w:p>
    <w:p w14:paraId="5260CB76"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666A3F3D"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unusual feature of these </w:t>
      </w:r>
      <w:r w:rsidR="00910361">
        <w:rPr>
          <w:rFonts w:ascii="Times New Roman" w:hAnsi="Times New Roman" w:cs="Times New Roman"/>
          <w:sz w:val="24"/>
          <w:szCs w:val="24"/>
          <w:lang w:val="en-US"/>
        </w:rPr>
        <w:t>C</w:t>
      </w:r>
      <w:r>
        <w:rPr>
          <w:rFonts w:ascii="Times New Roman" w:hAnsi="Times New Roman" w:cs="Times New Roman"/>
          <w:sz w:val="24"/>
          <w:szCs w:val="24"/>
          <w:lang w:val="en-US"/>
        </w:rPr>
        <w:t>ovid</w:t>
      </w:r>
      <w:r w:rsidR="00910361">
        <w:rPr>
          <w:rFonts w:ascii="Times New Roman" w:hAnsi="Times New Roman" w:cs="Times New Roman"/>
          <w:sz w:val="24"/>
          <w:szCs w:val="24"/>
          <w:lang w:val="en-US"/>
        </w:rPr>
        <w:t>-19</w:t>
      </w:r>
      <w:r>
        <w:rPr>
          <w:rFonts w:ascii="Times New Roman" w:hAnsi="Times New Roman" w:cs="Times New Roman"/>
          <w:sz w:val="24"/>
          <w:szCs w:val="24"/>
          <w:lang w:val="en-US"/>
        </w:rPr>
        <w:t xml:space="preserve"> victims is that they were unusually unwell, even for their age; </w:t>
      </w:r>
      <w:r w:rsidR="0066417C">
        <w:rPr>
          <w:rFonts w:ascii="Times New Roman" w:hAnsi="Times New Roman" w:cs="Times New Roman"/>
          <w:sz w:val="24"/>
          <w:szCs w:val="24"/>
          <w:lang w:val="en-US"/>
        </w:rPr>
        <w:t xml:space="preserve">virtually all </w:t>
      </w:r>
      <w:r>
        <w:rPr>
          <w:rFonts w:ascii="Times New Roman" w:hAnsi="Times New Roman" w:cs="Times New Roman"/>
          <w:sz w:val="24"/>
          <w:szCs w:val="24"/>
          <w:lang w:val="en-US"/>
        </w:rPr>
        <w:t>had at least one co-morbidity, which is presumably well in excess of the rate for the general population of the same age distribution.</w:t>
      </w:r>
      <w:r w:rsidR="0017781B">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A common such ailment was type 2 diabetes.  The NHS (2018, Figure 8) provides estimates for the increase in mortality risk from this disease (relative to the general population) by age and sex.  Averaging over these categories, the increase is about 50%.  However the group of interest here excludes those in nursing homes, because the estimate for the residual life expectancy of these victims already reflects co-morbidities.  This exclusion lowers the average age of the remaining victims, and suggests an increase in their mortality risk of about 80%.  In addition, a person with a residual life expectancy of 10 years (the average for the </w:t>
      </w:r>
      <w:r w:rsidR="007D65F7">
        <w:rPr>
          <w:rFonts w:ascii="Times New Roman" w:hAnsi="Times New Roman" w:cs="Times New Roman"/>
          <w:sz w:val="24"/>
          <w:szCs w:val="24"/>
          <w:lang w:val="en-US"/>
        </w:rPr>
        <w:t>C</w:t>
      </w:r>
      <w:r>
        <w:rPr>
          <w:rFonts w:ascii="Times New Roman" w:hAnsi="Times New Roman" w:cs="Times New Roman"/>
          <w:sz w:val="24"/>
          <w:szCs w:val="24"/>
          <w:lang w:val="en-US"/>
        </w:rPr>
        <w:t>ovid-19 victims) would have a current mortality risk of about 5% over the next year, growing at about 11% per year compounded:</w:t>
      </w:r>
      <w:r>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w:t>
      </w:r>
    </w:p>
    <w:p w14:paraId="1508EB0B"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122DBD58" w14:textId="77777777" w:rsidR="009557B6" w:rsidRDefault="009557B6" w:rsidP="009557B6">
      <w:pPr>
        <w:pStyle w:val="FootnoteText"/>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RLE=.05</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1-0.05</m:t>
              </m:r>
            </m:e>
          </m:d>
          <m:r>
            <w:rPr>
              <w:rFonts w:ascii="Cambria Math" w:hAnsi="Cambria Math" w:cs="Times New Roman"/>
              <w:sz w:val="24"/>
              <w:szCs w:val="24"/>
              <w:lang w:val="en-US"/>
            </w:rPr>
            <m:t>[.05</m:t>
          </m:r>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2</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1-.05</m:t>
              </m:r>
            </m:e>
          </m:d>
          <m:r>
            <w:rPr>
              <w:rFonts w:ascii="Cambria Math" w:hAnsi="Cambria Math" w:cs="Times New Roman"/>
              <w:sz w:val="24"/>
              <w:szCs w:val="24"/>
              <w:lang w:val="en-US"/>
            </w:rPr>
            <m:t>[.05</m:t>
          </m:r>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r>
            <w:rPr>
              <w:rFonts w:ascii="Cambria Math" w:hAnsi="Cambria Math" w:cs="Times New Roman"/>
              <w:sz w:val="24"/>
              <w:szCs w:val="24"/>
              <w:lang w:val="en-US"/>
            </w:rPr>
            <m:t>](3)+…=9.52 yrs</m:t>
          </m:r>
        </m:oMath>
      </m:oMathPara>
    </w:p>
    <w:p w14:paraId="7FC5A338"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5C139BC5"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Raising this initial mortality risk by 80%, from 5% to 9%, along with the same growth rate of 11%, reduces the residual life expectancy from 9.52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 xml:space="preserve"> to 6.68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 xml:space="preserve">, i.e., a reduction of 30%.  A similar percentage reduction applies to the average residual life expectancy of a group.  As noted above, virtually </w:t>
      </w:r>
      <w:proofErr w:type="gramStart"/>
      <w:r>
        <w:rPr>
          <w:rFonts w:ascii="Times New Roman" w:hAnsi="Times New Roman" w:cs="Times New Roman"/>
          <w:sz w:val="24"/>
          <w:szCs w:val="24"/>
          <w:lang w:val="en-US"/>
        </w:rPr>
        <w:t>all of</w:t>
      </w:r>
      <w:proofErr w:type="gramEnd"/>
      <w:r>
        <w:rPr>
          <w:rFonts w:ascii="Times New Roman" w:hAnsi="Times New Roman" w:cs="Times New Roman"/>
          <w:sz w:val="24"/>
          <w:szCs w:val="24"/>
          <w:lang w:val="en-US"/>
        </w:rPr>
        <w:t xml:space="preserve"> the victims had at least one co-morbidity, and multiple co-morbidities would reduce the average residual life expectancy of a group by even more than estimated here.  </w:t>
      </w:r>
    </w:p>
    <w:p w14:paraId="774BBB4A"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2F5D0736"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Allowing for this additional feature of the covid-19 victims is simplified by the fact that virtually all covid-19 victims had co-morbidities.  So, the subset of Swedish victims from nursing homes have their residual life expectancy set as before at 0.6 years (which will also reflect their co-morbidities), and all others have their residual life expectancy reduced by </w:t>
      </w:r>
      <w:r>
        <w:rPr>
          <w:rFonts w:ascii="Times New Roman" w:hAnsi="Times New Roman" w:cs="Times New Roman"/>
          <w:sz w:val="24"/>
          <w:szCs w:val="24"/>
          <w:lang w:val="en-US"/>
        </w:rPr>
        <w:lastRenderedPageBreak/>
        <w:t xml:space="preserve">(conservatively) 30%.  The results are shown in the penultimate </w:t>
      </w:r>
      <w:r w:rsidR="0017781B">
        <w:rPr>
          <w:rFonts w:ascii="Times New Roman" w:hAnsi="Times New Roman" w:cs="Times New Roman"/>
          <w:sz w:val="24"/>
          <w:szCs w:val="24"/>
          <w:lang w:val="en-US"/>
        </w:rPr>
        <w:t>column of Table 1</w:t>
      </w:r>
      <w:r>
        <w:rPr>
          <w:rFonts w:ascii="Times New Roman" w:hAnsi="Times New Roman" w:cs="Times New Roman"/>
          <w:sz w:val="24"/>
          <w:szCs w:val="24"/>
          <w:lang w:val="en-US"/>
        </w:rPr>
        <w:t>, with the nursing home group conservatively assumed (as before) to be the oldest</w:t>
      </w:r>
      <w:r w:rsidR="0017781B">
        <w:rPr>
          <w:rFonts w:ascii="Times New Roman" w:hAnsi="Times New Roman" w:cs="Times New Roman"/>
          <w:sz w:val="24"/>
          <w:szCs w:val="24"/>
          <w:lang w:val="en-US"/>
        </w:rPr>
        <w:t>, and the last column of Table 1</w:t>
      </w:r>
      <w:r>
        <w:rPr>
          <w:rFonts w:ascii="Times New Roman" w:hAnsi="Times New Roman" w:cs="Times New Roman"/>
          <w:sz w:val="24"/>
          <w:szCs w:val="24"/>
          <w:lang w:val="en-US"/>
        </w:rPr>
        <w:t>, in which the nursing home group is spread throughout the 70+ groups in proportion to their sizes.</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The average residual life spans are 5.5 and 4.7 years respectively, and a good estimate would lie between these figures.  So, starting with 10.9 years, the reduction is to 6.4 - 7.7 years to account for the nursing home group, and then to 4.7 – 5.5 years to additionally account for co-morbidities in the rest.</w:t>
      </w:r>
      <w:r w:rsidR="007D65F7">
        <w:rPr>
          <w:rFonts w:ascii="Times New Roman" w:hAnsi="Times New Roman" w:cs="Times New Roman"/>
          <w:sz w:val="24"/>
          <w:szCs w:val="24"/>
          <w:lang w:val="en-US"/>
        </w:rPr>
        <w:t xml:space="preserve">  This supports </w:t>
      </w:r>
      <w:r w:rsidR="0063215D">
        <w:rPr>
          <w:rFonts w:ascii="Times New Roman" w:hAnsi="Times New Roman" w:cs="Times New Roman"/>
          <w:sz w:val="24"/>
          <w:szCs w:val="24"/>
          <w:lang w:val="en-US"/>
        </w:rPr>
        <w:t>the estimate of Blakely and Wilson</w:t>
      </w:r>
      <w:r w:rsidR="007D65F7">
        <w:rPr>
          <w:rFonts w:ascii="Times New Roman" w:hAnsi="Times New Roman" w:cs="Times New Roman"/>
          <w:sz w:val="24"/>
          <w:szCs w:val="24"/>
          <w:lang w:val="en-US"/>
        </w:rPr>
        <w:t xml:space="preserve"> (2020) </w:t>
      </w:r>
      <w:r w:rsidR="0063215D">
        <w:rPr>
          <w:rFonts w:ascii="Times New Roman" w:hAnsi="Times New Roman" w:cs="Times New Roman"/>
          <w:sz w:val="24"/>
          <w:szCs w:val="24"/>
          <w:lang w:val="en-US"/>
        </w:rPr>
        <w:t xml:space="preserve">and Foster (2020), </w:t>
      </w:r>
      <w:r w:rsidR="007D65F7">
        <w:rPr>
          <w:rFonts w:ascii="Times New Roman" w:hAnsi="Times New Roman" w:cs="Times New Roman"/>
          <w:sz w:val="24"/>
          <w:szCs w:val="24"/>
          <w:lang w:val="en-US"/>
        </w:rPr>
        <w:t>of five years.</w:t>
      </w:r>
    </w:p>
    <w:p w14:paraId="1EEA69E0" w14:textId="77777777" w:rsidR="009557B6" w:rsidRDefault="009557B6" w:rsidP="009557B6">
      <w:pPr>
        <w:pStyle w:val="FootnoteText"/>
        <w:spacing w:line="360" w:lineRule="auto"/>
        <w:jc w:val="both"/>
        <w:rPr>
          <w:rFonts w:ascii="Times New Roman" w:hAnsi="Times New Roman" w:cs="Times New Roman"/>
          <w:sz w:val="24"/>
          <w:szCs w:val="24"/>
          <w:lang w:val="en-US"/>
        </w:rPr>
      </w:pPr>
    </w:p>
    <w:p w14:paraId="21EC8640" w14:textId="77777777" w:rsidR="009557B6" w:rsidRDefault="0017781B" w:rsidP="009557B6">
      <w:pPr>
        <w:pStyle w:val="FootnoteText"/>
        <w:jc w:val="center"/>
        <w:rPr>
          <w:rFonts w:ascii="Times New Roman" w:hAnsi="Times New Roman" w:cs="Times New Roman"/>
          <w:sz w:val="24"/>
          <w:szCs w:val="24"/>
          <w:lang w:val="en-US"/>
        </w:rPr>
      </w:pPr>
      <w:r>
        <w:rPr>
          <w:rFonts w:ascii="Times New Roman" w:hAnsi="Times New Roman" w:cs="Times New Roman"/>
          <w:sz w:val="24"/>
          <w:szCs w:val="24"/>
          <w:lang w:val="en-US"/>
        </w:rPr>
        <w:t>Table 1</w:t>
      </w:r>
      <w:r w:rsidR="009557B6">
        <w:rPr>
          <w:rFonts w:ascii="Times New Roman" w:hAnsi="Times New Roman" w:cs="Times New Roman"/>
          <w:sz w:val="24"/>
          <w:szCs w:val="24"/>
          <w:lang w:val="en-US"/>
        </w:rPr>
        <w:t>: Residual Life Expectancy of Swedish Covid-19 Victims</w:t>
      </w:r>
    </w:p>
    <w:p w14:paraId="09E710DB"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007E5F9A" w14:textId="77777777" w:rsidR="009557B6" w:rsidRDefault="009557B6" w:rsidP="009557B6">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Age Group      Victims                    RLE                </w:t>
      </w:r>
      <w:proofErr w:type="spellStart"/>
      <w:r>
        <w:rPr>
          <w:rFonts w:ascii="Times New Roman" w:hAnsi="Times New Roman" w:cs="Times New Roman"/>
          <w:sz w:val="24"/>
          <w:szCs w:val="24"/>
          <w:lang w:val="en-US"/>
        </w:rPr>
        <w:t>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RLE</w:t>
      </w:r>
      <w:proofErr w:type="spellEnd"/>
    </w:p>
    <w:p w14:paraId="0B2659B6" w14:textId="77777777" w:rsidR="009557B6" w:rsidRDefault="009557B6" w:rsidP="009557B6">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594C4886"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w:t>
      </w:r>
      <w:r>
        <w:rPr>
          <w:rFonts w:ascii="Times New Roman" w:hAnsi="Times New Roman" w:cs="Times New Roman"/>
          <w:sz w:val="24"/>
          <w:szCs w:val="24"/>
          <w:lang w:val="en-US"/>
        </w:rPr>
        <w:tab/>
        <w:t>2</w:t>
      </w:r>
      <w:r>
        <w:rPr>
          <w:rFonts w:ascii="Times New Roman" w:hAnsi="Times New Roman" w:cs="Times New Roman"/>
          <w:sz w:val="24"/>
          <w:szCs w:val="24"/>
          <w:lang w:val="en-US"/>
        </w:rPr>
        <w:tab/>
        <w:t>79.55</w:t>
      </w:r>
      <w:r>
        <w:rPr>
          <w:rFonts w:ascii="Times New Roman" w:hAnsi="Times New Roman" w:cs="Times New Roman"/>
          <w:sz w:val="24"/>
          <w:szCs w:val="24"/>
          <w:lang w:val="en-US"/>
        </w:rPr>
        <w:tab/>
        <w:t>79.55</w:t>
      </w:r>
      <w:r>
        <w:rPr>
          <w:rFonts w:ascii="Times New Roman" w:hAnsi="Times New Roman" w:cs="Times New Roman"/>
          <w:sz w:val="24"/>
          <w:szCs w:val="24"/>
          <w:lang w:val="en-US"/>
        </w:rPr>
        <w:tab/>
        <w:t>79.55(0.7)</w:t>
      </w:r>
      <w:r>
        <w:rPr>
          <w:rFonts w:ascii="Times New Roman" w:hAnsi="Times New Roman" w:cs="Times New Roman"/>
          <w:sz w:val="24"/>
          <w:szCs w:val="24"/>
          <w:lang w:val="en-US"/>
        </w:rPr>
        <w:tab/>
        <w:t>79.55(0.7)</w:t>
      </w:r>
    </w:p>
    <w:p w14:paraId="5E8724DE"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20-29</w:t>
      </w:r>
      <w:r>
        <w:rPr>
          <w:rFonts w:ascii="Times New Roman" w:hAnsi="Times New Roman" w:cs="Times New Roman"/>
          <w:sz w:val="24"/>
          <w:szCs w:val="24"/>
          <w:lang w:val="en-US"/>
        </w:rPr>
        <w:tab/>
        <w:t>10</w:t>
      </w:r>
      <w:r>
        <w:rPr>
          <w:rFonts w:ascii="Times New Roman" w:hAnsi="Times New Roman" w:cs="Times New Roman"/>
          <w:sz w:val="24"/>
          <w:szCs w:val="24"/>
          <w:lang w:val="en-US"/>
        </w:rPr>
        <w:tab/>
        <w:t>60.25</w:t>
      </w:r>
      <w:r>
        <w:rPr>
          <w:rFonts w:ascii="Times New Roman" w:hAnsi="Times New Roman" w:cs="Times New Roman"/>
          <w:sz w:val="24"/>
          <w:szCs w:val="24"/>
          <w:lang w:val="en-US"/>
        </w:rPr>
        <w:tab/>
        <w:t>60.25</w:t>
      </w:r>
      <w:r>
        <w:rPr>
          <w:rFonts w:ascii="Times New Roman" w:hAnsi="Times New Roman" w:cs="Times New Roman"/>
          <w:sz w:val="24"/>
          <w:szCs w:val="24"/>
          <w:lang w:val="en-US"/>
        </w:rPr>
        <w:tab/>
        <w:t>60.25(0.7)</w:t>
      </w:r>
      <w:r>
        <w:rPr>
          <w:rFonts w:ascii="Times New Roman" w:hAnsi="Times New Roman" w:cs="Times New Roman"/>
          <w:sz w:val="24"/>
          <w:szCs w:val="24"/>
          <w:lang w:val="en-US"/>
        </w:rPr>
        <w:tab/>
        <w:t>60.35(0.7)</w:t>
      </w:r>
    </w:p>
    <w:p w14:paraId="019E3544"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30-39</w:t>
      </w:r>
      <w:r>
        <w:rPr>
          <w:rFonts w:ascii="Times New Roman" w:hAnsi="Times New Roman" w:cs="Times New Roman"/>
          <w:sz w:val="24"/>
          <w:szCs w:val="24"/>
          <w:lang w:val="en-US"/>
        </w:rPr>
        <w:tab/>
        <w:t>19</w:t>
      </w:r>
      <w:r>
        <w:rPr>
          <w:rFonts w:ascii="Times New Roman" w:hAnsi="Times New Roman" w:cs="Times New Roman"/>
          <w:sz w:val="24"/>
          <w:szCs w:val="24"/>
          <w:lang w:val="en-US"/>
        </w:rPr>
        <w:tab/>
        <w:t>50.5</w:t>
      </w:r>
      <w:r>
        <w:rPr>
          <w:rFonts w:ascii="Times New Roman" w:hAnsi="Times New Roman" w:cs="Times New Roman"/>
          <w:sz w:val="24"/>
          <w:szCs w:val="24"/>
          <w:lang w:val="en-US"/>
        </w:rPr>
        <w:tab/>
        <w:t>50.5</w:t>
      </w:r>
      <w:r>
        <w:rPr>
          <w:rFonts w:ascii="Times New Roman" w:hAnsi="Times New Roman" w:cs="Times New Roman"/>
          <w:sz w:val="24"/>
          <w:szCs w:val="24"/>
          <w:lang w:val="en-US"/>
        </w:rPr>
        <w:tab/>
        <w:t>50.5(0.7)</w:t>
      </w:r>
      <w:r>
        <w:rPr>
          <w:rFonts w:ascii="Times New Roman" w:hAnsi="Times New Roman" w:cs="Times New Roman"/>
          <w:sz w:val="24"/>
          <w:szCs w:val="24"/>
          <w:lang w:val="en-US"/>
        </w:rPr>
        <w:tab/>
        <w:t>50.5(0.7)</w:t>
      </w:r>
    </w:p>
    <w:p w14:paraId="2D6E124C"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40-49</w:t>
      </w:r>
      <w:r>
        <w:rPr>
          <w:rFonts w:ascii="Times New Roman" w:hAnsi="Times New Roman" w:cs="Times New Roman"/>
          <w:sz w:val="24"/>
          <w:szCs w:val="24"/>
          <w:lang w:val="en-US"/>
        </w:rPr>
        <w:tab/>
        <w:t>45</w:t>
      </w:r>
      <w:r>
        <w:rPr>
          <w:rFonts w:ascii="Times New Roman" w:hAnsi="Times New Roman" w:cs="Times New Roman"/>
          <w:sz w:val="24"/>
          <w:szCs w:val="24"/>
          <w:lang w:val="en-US"/>
        </w:rPr>
        <w:tab/>
        <w:t>40.8</w:t>
      </w:r>
      <w:r>
        <w:rPr>
          <w:rFonts w:ascii="Times New Roman" w:hAnsi="Times New Roman" w:cs="Times New Roman"/>
          <w:sz w:val="24"/>
          <w:szCs w:val="24"/>
          <w:lang w:val="en-US"/>
        </w:rPr>
        <w:tab/>
        <w:t>40.8</w:t>
      </w:r>
      <w:r>
        <w:rPr>
          <w:rFonts w:ascii="Times New Roman" w:hAnsi="Times New Roman" w:cs="Times New Roman"/>
          <w:sz w:val="24"/>
          <w:szCs w:val="24"/>
          <w:lang w:val="en-US"/>
        </w:rPr>
        <w:tab/>
        <w:t>40.8(0.7)</w:t>
      </w:r>
      <w:r>
        <w:rPr>
          <w:rFonts w:ascii="Times New Roman" w:hAnsi="Times New Roman" w:cs="Times New Roman"/>
          <w:sz w:val="24"/>
          <w:szCs w:val="24"/>
          <w:lang w:val="en-US"/>
        </w:rPr>
        <w:tab/>
        <w:t>40.8(0.7)</w:t>
      </w:r>
    </w:p>
    <w:p w14:paraId="72C0C7F9"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50-59</w:t>
      </w:r>
      <w:r>
        <w:rPr>
          <w:rFonts w:ascii="Times New Roman" w:hAnsi="Times New Roman" w:cs="Times New Roman"/>
          <w:sz w:val="24"/>
          <w:szCs w:val="24"/>
          <w:lang w:val="en-US"/>
        </w:rPr>
        <w:tab/>
        <w:t>164</w:t>
      </w:r>
      <w:r>
        <w:rPr>
          <w:rFonts w:ascii="Times New Roman" w:hAnsi="Times New Roman" w:cs="Times New Roman"/>
          <w:sz w:val="24"/>
          <w:szCs w:val="24"/>
          <w:lang w:val="en-US"/>
        </w:rPr>
        <w:tab/>
        <w:t>31.3</w:t>
      </w:r>
      <w:r>
        <w:rPr>
          <w:rFonts w:ascii="Times New Roman" w:hAnsi="Times New Roman" w:cs="Times New Roman"/>
          <w:sz w:val="24"/>
          <w:szCs w:val="24"/>
          <w:lang w:val="en-US"/>
        </w:rPr>
        <w:tab/>
        <w:t>31.3</w:t>
      </w:r>
      <w:r>
        <w:rPr>
          <w:rFonts w:ascii="Times New Roman" w:hAnsi="Times New Roman" w:cs="Times New Roman"/>
          <w:sz w:val="24"/>
          <w:szCs w:val="24"/>
          <w:lang w:val="en-US"/>
        </w:rPr>
        <w:tab/>
        <w:t>31.3(0.7)</w:t>
      </w:r>
      <w:r>
        <w:rPr>
          <w:rFonts w:ascii="Times New Roman" w:hAnsi="Times New Roman" w:cs="Times New Roman"/>
          <w:sz w:val="24"/>
          <w:szCs w:val="24"/>
          <w:lang w:val="en-US"/>
        </w:rPr>
        <w:tab/>
        <w:t>31.3(0.7)</w:t>
      </w:r>
    </w:p>
    <w:p w14:paraId="68C4830B"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60-69</w:t>
      </w:r>
      <w:r>
        <w:rPr>
          <w:rFonts w:ascii="Times New Roman" w:hAnsi="Times New Roman" w:cs="Times New Roman"/>
          <w:sz w:val="24"/>
          <w:szCs w:val="24"/>
          <w:lang w:val="en-US"/>
        </w:rPr>
        <w:tab/>
        <w:t>406</w:t>
      </w:r>
      <w:r>
        <w:rPr>
          <w:rFonts w:ascii="Times New Roman" w:hAnsi="Times New Roman" w:cs="Times New Roman"/>
          <w:sz w:val="24"/>
          <w:szCs w:val="24"/>
          <w:lang w:val="en-US"/>
        </w:rPr>
        <w:tab/>
        <w:t>22.4</w:t>
      </w:r>
      <w:r>
        <w:rPr>
          <w:rFonts w:ascii="Times New Roman" w:hAnsi="Times New Roman" w:cs="Times New Roman"/>
          <w:sz w:val="24"/>
          <w:szCs w:val="24"/>
          <w:lang w:val="en-US"/>
        </w:rPr>
        <w:tab/>
        <w:t>22.4</w:t>
      </w:r>
      <w:r>
        <w:rPr>
          <w:rFonts w:ascii="Times New Roman" w:hAnsi="Times New Roman" w:cs="Times New Roman"/>
          <w:sz w:val="24"/>
          <w:szCs w:val="24"/>
          <w:lang w:val="en-US"/>
        </w:rPr>
        <w:tab/>
        <w:t>22.4(0.7)</w:t>
      </w:r>
      <w:r>
        <w:rPr>
          <w:rFonts w:ascii="Times New Roman" w:hAnsi="Times New Roman" w:cs="Times New Roman"/>
          <w:sz w:val="24"/>
          <w:szCs w:val="24"/>
          <w:lang w:val="en-US"/>
        </w:rPr>
        <w:tab/>
        <w:t>22.4(0.7)</w:t>
      </w:r>
    </w:p>
    <w:p w14:paraId="55E42EA9"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70-79</w:t>
      </w:r>
      <w:r>
        <w:rPr>
          <w:rFonts w:ascii="Times New Roman" w:hAnsi="Times New Roman" w:cs="Times New Roman"/>
          <w:sz w:val="24"/>
          <w:szCs w:val="24"/>
          <w:lang w:val="en-US"/>
        </w:rPr>
        <w:tab/>
        <w:t>1268 (22%)</w:t>
      </w:r>
      <w:r>
        <w:rPr>
          <w:rFonts w:ascii="Times New Roman" w:hAnsi="Times New Roman" w:cs="Times New Roman"/>
          <w:sz w:val="24"/>
          <w:szCs w:val="24"/>
          <w:lang w:val="en-US"/>
        </w:rPr>
        <w:tab/>
        <w:t>14.3</w:t>
      </w:r>
      <w:r>
        <w:rPr>
          <w:rFonts w:ascii="Times New Roman" w:hAnsi="Times New Roman" w:cs="Times New Roman"/>
          <w:sz w:val="24"/>
          <w:szCs w:val="24"/>
          <w:lang w:val="en-US"/>
        </w:rPr>
        <w:tab/>
        <w:t>14.3</w:t>
      </w:r>
      <w:r>
        <w:rPr>
          <w:rFonts w:ascii="Times New Roman" w:hAnsi="Times New Roman" w:cs="Times New Roman"/>
          <w:sz w:val="24"/>
          <w:szCs w:val="24"/>
          <w:lang w:val="en-US"/>
        </w:rPr>
        <w:tab/>
        <w:t>14.3(0.7)</w:t>
      </w:r>
      <w:r>
        <w:rPr>
          <w:rFonts w:ascii="Times New Roman" w:hAnsi="Times New Roman" w:cs="Times New Roman"/>
          <w:sz w:val="24"/>
          <w:szCs w:val="24"/>
          <w:lang w:val="en-US"/>
        </w:rPr>
        <w:tab/>
        <w:t>4.45</w:t>
      </w:r>
    </w:p>
    <w:p w14:paraId="2DDEF84A" w14:textId="77777777" w:rsidR="009557B6" w:rsidRDefault="009557B6" w:rsidP="009557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80-84</w:t>
      </w:r>
      <w:r>
        <w:rPr>
          <w:rFonts w:ascii="Times New Roman" w:hAnsi="Times New Roman" w:cs="Times New Roman"/>
          <w:sz w:val="24"/>
          <w:szCs w:val="24"/>
          <w:lang w:val="en-US"/>
        </w:rPr>
        <w:tab/>
        <w:t>1219 (21%)</w:t>
      </w:r>
      <w:r>
        <w:rPr>
          <w:rFonts w:ascii="Times New Roman" w:hAnsi="Times New Roman" w:cs="Times New Roman"/>
          <w:sz w:val="24"/>
          <w:szCs w:val="24"/>
          <w:lang w:val="en-US"/>
        </w:rPr>
        <w:tab/>
        <w:t>9.1</w:t>
      </w:r>
      <w:r>
        <w:rPr>
          <w:rFonts w:ascii="Times New Roman" w:hAnsi="Times New Roman" w:cs="Times New Roman"/>
          <w:sz w:val="24"/>
          <w:szCs w:val="24"/>
          <w:lang w:val="en-US"/>
        </w:rPr>
        <w:tab/>
        <w:t>6.67</w:t>
      </w:r>
      <w:r>
        <w:rPr>
          <w:rFonts w:ascii="Times New Roman" w:hAnsi="Times New Roman" w:cs="Times New Roman"/>
          <w:sz w:val="24"/>
          <w:szCs w:val="24"/>
          <w:lang w:val="en-US"/>
        </w:rPr>
        <w:tab/>
        <w:t>4.72</w:t>
      </w:r>
      <w:r>
        <w:rPr>
          <w:rFonts w:ascii="Times New Roman" w:hAnsi="Times New Roman" w:cs="Times New Roman"/>
          <w:sz w:val="24"/>
          <w:szCs w:val="24"/>
          <w:lang w:val="en-US"/>
        </w:rPr>
        <w:tab/>
        <w:t>2.80</w:t>
      </w:r>
    </w:p>
    <w:p w14:paraId="5DE80220" w14:textId="77777777" w:rsidR="009557B6" w:rsidRDefault="009557B6" w:rsidP="009557B6">
      <w:pPr>
        <w:pStyle w:val="FootnoteText"/>
        <w:tabs>
          <w:tab w:val="left" w:pos="1701"/>
          <w:tab w:val="left" w:pos="3402"/>
          <w:tab w:val="left" w:pos="4820"/>
          <w:tab w:val="left" w:pos="6237"/>
          <w:tab w:val="left" w:pos="7797"/>
        </w:tabs>
        <w:jc w:val="both"/>
        <w:rPr>
          <w:rFonts w:ascii="Times New Roman" w:hAnsi="Times New Roman" w:cs="Times New Roman"/>
          <w:sz w:val="24"/>
          <w:szCs w:val="24"/>
          <w:lang w:val="en-US"/>
        </w:rPr>
      </w:pPr>
      <w:r>
        <w:rPr>
          <w:rFonts w:ascii="Times New Roman" w:hAnsi="Times New Roman" w:cs="Times New Roman"/>
          <w:sz w:val="24"/>
          <w:szCs w:val="24"/>
          <w:lang w:val="en-US"/>
        </w:rPr>
        <w:t>85+</w:t>
      </w:r>
      <w:r>
        <w:rPr>
          <w:rFonts w:ascii="Times New Roman" w:hAnsi="Times New Roman" w:cs="Times New Roman"/>
          <w:sz w:val="24"/>
          <w:szCs w:val="24"/>
          <w:lang w:val="en-US"/>
        </w:rPr>
        <w:tab/>
        <w:t>2747 (47%)</w:t>
      </w:r>
      <w:r>
        <w:rPr>
          <w:rFonts w:ascii="Times New Roman" w:hAnsi="Times New Roman" w:cs="Times New Roman"/>
          <w:sz w:val="24"/>
          <w:szCs w:val="24"/>
          <w:lang w:val="en-US"/>
        </w:rPr>
        <w:tab/>
        <w:t>6.3</w:t>
      </w:r>
      <w:r>
        <w:rPr>
          <w:rFonts w:ascii="Times New Roman" w:hAnsi="Times New Roman" w:cs="Times New Roman"/>
          <w:sz w:val="24"/>
          <w:szCs w:val="24"/>
          <w:lang w:val="en-US"/>
        </w:rPr>
        <w:tab/>
        <w:t>0.6</w:t>
      </w:r>
      <w:r>
        <w:rPr>
          <w:rFonts w:ascii="Times New Roman" w:hAnsi="Times New Roman" w:cs="Times New Roman"/>
          <w:sz w:val="24"/>
          <w:szCs w:val="24"/>
          <w:lang w:val="en-US"/>
        </w:rPr>
        <w:tab/>
        <w:t>0.6</w:t>
      </w:r>
      <w:r>
        <w:rPr>
          <w:rFonts w:ascii="Times New Roman" w:hAnsi="Times New Roman" w:cs="Times New Roman"/>
          <w:sz w:val="24"/>
          <w:szCs w:val="24"/>
          <w:lang w:val="en-US"/>
        </w:rPr>
        <w:tab/>
        <w:t>2.14</w:t>
      </w:r>
    </w:p>
    <w:p w14:paraId="28A67E43" w14:textId="77777777" w:rsidR="009557B6" w:rsidRDefault="009557B6" w:rsidP="009557B6">
      <w:pPr>
        <w:pStyle w:val="FootnoteText"/>
        <w:tabs>
          <w:tab w:val="left" w:pos="2268"/>
          <w:tab w:val="left" w:pos="3969"/>
          <w:tab w:val="left" w:pos="5670"/>
          <w:tab w:val="left" w:pos="737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164694C1" w14:textId="77777777" w:rsidR="009557B6" w:rsidRDefault="009557B6" w:rsidP="009557B6">
      <w:pPr>
        <w:pStyle w:val="FootnoteText"/>
        <w:tabs>
          <w:tab w:val="left" w:pos="1701"/>
          <w:tab w:val="left" w:pos="3402"/>
          <w:tab w:val="left" w:pos="4820"/>
          <w:tab w:val="left" w:pos="6237"/>
          <w:tab w:val="left" w:pos="7797"/>
        </w:tabs>
        <w:jc w:val="both"/>
        <w:rPr>
          <w:rFonts w:ascii="Times New Roman" w:hAnsi="Times New Roman" w:cs="Times New Roman"/>
          <w:sz w:val="24"/>
          <w:szCs w:val="24"/>
          <w:lang w:val="en-US"/>
        </w:rPr>
      </w:pPr>
      <w:r>
        <w:rPr>
          <w:rFonts w:ascii="Times New Roman" w:hAnsi="Times New Roman" w:cs="Times New Roman"/>
          <w:sz w:val="24"/>
          <w:szCs w:val="24"/>
          <w:lang w:val="en-US"/>
        </w:rPr>
        <w:t>Average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10.9</w:t>
      </w:r>
      <w:r>
        <w:rPr>
          <w:rFonts w:ascii="Times New Roman" w:hAnsi="Times New Roman" w:cs="Times New Roman"/>
          <w:sz w:val="24"/>
          <w:szCs w:val="24"/>
          <w:lang w:val="en-US"/>
        </w:rPr>
        <w:tab/>
        <w:t>7.7</w:t>
      </w:r>
      <w:r>
        <w:rPr>
          <w:rFonts w:ascii="Times New Roman" w:hAnsi="Times New Roman" w:cs="Times New Roman"/>
          <w:sz w:val="24"/>
          <w:szCs w:val="24"/>
          <w:lang w:val="en-US"/>
        </w:rPr>
        <w:tab/>
        <w:t>5.5</w:t>
      </w:r>
      <w:r>
        <w:rPr>
          <w:rFonts w:ascii="Times New Roman" w:hAnsi="Times New Roman" w:cs="Times New Roman"/>
          <w:sz w:val="24"/>
          <w:szCs w:val="24"/>
          <w:lang w:val="en-US"/>
        </w:rPr>
        <w:tab/>
        <w:t>4.7</w:t>
      </w:r>
    </w:p>
    <w:p w14:paraId="2CC55D5F" w14:textId="77777777" w:rsidR="009557B6" w:rsidRDefault="009557B6" w:rsidP="009557B6">
      <w:pPr>
        <w:pStyle w:val="FootnoteText"/>
        <w:tabs>
          <w:tab w:val="left" w:pos="2268"/>
          <w:tab w:val="left" w:pos="3402"/>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2A9BD443" w14:textId="77777777" w:rsidR="009557B6" w:rsidRDefault="009557B6" w:rsidP="000B7E7F">
      <w:pPr>
        <w:spacing w:after="0" w:line="360" w:lineRule="auto"/>
        <w:jc w:val="both"/>
        <w:rPr>
          <w:rFonts w:ascii="Times New Roman" w:hAnsi="Times New Roman" w:cs="Times New Roman"/>
          <w:sz w:val="24"/>
          <w:szCs w:val="24"/>
          <w:lang w:val="en-US"/>
        </w:rPr>
      </w:pPr>
    </w:p>
    <w:p w14:paraId="372AE482" w14:textId="77777777" w:rsidR="00952E42" w:rsidRDefault="00A67EA2" w:rsidP="00952E42">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last step here is the </w:t>
      </w:r>
      <w:r w:rsidR="00952E42">
        <w:rPr>
          <w:rFonts w:ascii="Times New Roman" w:hAnsi="Times New Roman" w:cs="Times New Roman"/>
          <w:sz w:val="24"/>
          <w:szCs w:val="24"/>
          <w:lang w:val="en-US"/>
        </w:rPr>
        <w:t>discount to reflect the imperfect health of virtually all of these victims sans Covid-19</w:t>
      </w:r>
      <w:r>
        <w:rPr>
          <w:rFonts w:ascii="Times New Roman" w:hAnsi="Times New Roman" w:cs="Times New Roman"/>
          <w:sz w:val="24"/>
          <w:szCs w:val="24"/>
          <w:lang w:val="en-US"/>
        </w:rPr>
        <w:t xml:space="preserve">.  </w:t>
      </w:r>
      <w:r w:rsidR="00952E42">
        <w:rPr>
          <w:rFonts w:ascii="Times New Roman" w:hAnsi="Times New Roman" w:cs="Times New Roman"/>
          <w:sz w:val="24"/>
          <w:szCs w:val="24"/>
          <w:lang w:val="en-US"/>
        </w:rPr>
        <w:t xml:space="preserve">Miles et al (2020, page 69) use 20% based on prevailing discounts for type 2 diabetes with and without additional problems.  In particular, they cite Beaudet et al (2014, Table 3), who favour a quality of life discount of 21% for Type 2 diabetes without complications, and substantial additional discounts for further problems including 9% for </w:t>
      </w:r>
      <w:r w:rsidR="00952E42">
        <w:rPr>
          <w:rFonts w:ascii="Times New Roman" w:hAnsi="Times New Roman" w:cs="Times New Roman"/>
          <w:sz w:val="24"/>
          <w:szCs w:val="24"/>
          <w:lang w:val="en-US"/>
        </w:rPr>
        <w:lastRenderedPageBreak/>
        <w:t xml:space="preserve">heart disease and 16% for stroke.  These discounts in Beaudet et al </w:t>
      </w:r>
      <w:r w:rsidR="007D65F7">
        <w:rPr>
          <w:rFonts w:ascii="Times New Roman" w:hAnsi="Times New Roman" w:cs="Times New Roman"/>
          <w:sz w:val="24"/>
          <w:szCs w:val="24"/>
          <w:lang w:val="en-US"/>
        </w:rPr>
        <w:t xml:space="preserve">(2014) </w:t>
      </w:r>
      <w:r w:rsidR="00952E42">
        <w:rPr>
          <w:rFonts w:ascii="Times New Roman" w:hAnsi="Times New Roman" w:cs="Times New Roman"/>
          <w:sz w:val="24"/>
          <w:szCs w:val="24"/>
          <w:lang w:val="en-US"/>
        </w:rPr>
        <w:t xml:space="preserve">suggest that Miles et </w:t>
      </w:r>
      <w:proofErr w:type="spellStart"/>
      <w:r w:rsidR="00952E42">
        <w:rPr>
          <w:rFonts w:ascii="Times New Roman" w:hAnsi="Times New Roman" w:cs="Times New Roman"/>
          <w:sz w:val="24"/>
          <w:szCs w:val="24"/>
          <w:lang w:val="en-US"/>
        </w:rPr>
        <w:t>al’s</w:t>
      </w:r>
      <w:proofErr w:type="spellEnd"/>
      <w:r w:rsidR="00952E42">
        <w:rPr>
          <w:rFonts w:ascii="Times New Roman" w:hAnsi="Times New Roman" w:cs="Times New Roman"/>
          <w:sz w:val="24"/>
          <w:szCs w:val="24"/>
          <w:lang w:val="en-US"/>
        </w:rPr>
        <w:t xml:space="preserve"> </w:t>
      </w:r>
      <w:r w:rsidR="007D65F7">
        <w:rPr>
          <w:rFonts w:ascii="Times New Roman" w:hAnsi="Times New Roman" w:cs="Times New Roman"/>
          <w:sz w:val="24"/>
          <w:szCs w:val="24"/>
          <w:lang w:val="en-US"/>
        </w:rPr>
        <w:t xml:space="preserve">(2020) </w:t>
      </w:r>
      <w:r w:rsidR="00952E42">
        <w:rPr>
          <w:rFonts w:ascii="Times New Roman" w:hAnsi="Times New Roman" w:cs="Times New Roman"/>
          <w:sz w:val="24"/>
          <w:szCs w:val="24"/>
          <w:lang w:val="en-US"/>
        </w:rPr>
        <w:t xml:space="preserve">20% discount for an average covid-19 victim is low.  </w:t>
      </w:r>
      <w:r>
        <w:rPr>
          <w:rFonts w:ascii="Times New Roman" w:hAnsi="Times New Roman" w:cs="Times New Roman"/>
          <w:sz w:val="24"/>
          <w:szCs w:val="24"/>
          <w:lang w:val="en-US"/>
        </w:rPr>
        <w:t>Consistent with this, Briggs (2020, Figure 3) uses a discount of about 30% for Covid-19 victims, based upon norms arising from survey data</w:t>
      </w:r>
      <w:r w:rsidR="00A40B3B">
        <w:rPr>
          <w:rFonts w:ascii="Times New Roman" w:hAnsi="Times New Roman" w:cs="Times New Roman"/>
          <w:sz w:val="24"/>
          <w:szCs w:val="24"/>
          <w:lang w:val="en-US"/>
        </w:rPr>
        <w:t xml:space="preserve"> from Szende</w:t>
      </w:r>
      <w:r w:rsidR="00E8038B">
        <w:rPr>
          <w:rFonts w:ascii="Times New Roman" w:hAnsi="Times New Roman" w:cs="Times New Roman"/>
          <w:sz w:val="24"/>
          <w:szCs w:val="24"/>
          <w:lang w:val="en-US"/>
        </w:rPr>
        <w:t xml:space="preserve"> et al</w:t>
      </w:r>
      <w:r w:rsidR="00A40B3B">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w:t>
      </w:r>
      <w:r w:rsidR="00952E42">
        <w:rPr>
          <w:rFonts w:ascii="Times New Roman" w:hAnsi="Times New Roman" w:cs="Times New Roman"/>
          <w:sz w:val="24"/>
          <w:szCs w:val="24"/>
          <w:lang w:val="en-US"/>
        </w:rPr>
        <w:t>Furthermore, a large proportion of the victims were residents of nursing homes, for which the quality of life discount could reasonably be even higher.</w:t>
      </w:r>
      <w:r>
        <w:rPr>
          <w:rFonts w:ascii="Times New Roman" w:hAnsi="Times New Roman" w:cs="Times New Roman"/>
          <w:sz w:val="24"/>
          <w:szCs w:val="24"/>
          <w:lang w:val="en-US"/>
        </w:rPr>
        <w:t xml:space="preserve">  I adopt a conservative estimate of the discount, of 20%.</w:t>
      </w:r>
    </w:p>
    <w:p w14:paraId="038D24B9" w14:textId="77777777" w:rsidR="00911C4E" w:rsidRDefault="00911C4E" w:rsidP="00952E42">
      <w:pPr>
        <w:pStyle w:val="FootnoteText"/>
        <w:spacing w:line="360" w:lineRule="auto"/>
        <w:jc w:val="both"/>
        <w:rPr>
          <w:rFonts w:ascii="Times New Roman" w:hAnsi="Times New Roman" w:cs="Times New Roman"/>
          <w:sz w:val="24"/>
          <w:szCs w:val="24"/>
          <w:lang w:val="en-US"/>
        </w:rPr>
      </w:pPr>
    </w:p>
    <w:p w14:paraId="58C68A59" w14:textId="77777777" w:rsidR="00911C4E" w:rsidRPr="001E4050" w:rsidRDefault="00911C4E" w:rsidP="00952E42">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further step undertaken by Briggs (2020, F</w:t>
      </w:r>
      <w:r w:rsidR="00B570BC">
        <w:rPr>
          <w:rFonts w:ascii="Times New Roman" w:hAnsi="Times New Roman" w:cs="Times New Roman"/>
          <w:sz w:val="24"/>
          <w:szCs w:val="24"/>
          <w:lang w:val="en-US"/>
        </w:rPr>
        <w:t>igure 3</w:t>
      </w:r>
      <w:r>
        <w:rPr>
          <w:rFonts w:ascii="Times New Roman" w:hAnsi="Times New Roman" w:cs="Times New Roman"/>
          <w:sz w:val="24"/>
          <w:szCs w:val="24"/>
          <w:lang w:val="en-US"/>
        </w:rPr>
        <w:t>) is to discount future QALY losses</w:t>
      </w:r>
      <w:r w:rsidR="00982870">
        <w:rPr>
          <w:rFonts w:ascii="Times New Roman" w:hAnsi="Times New Roman" w:cs="Times New Roman"/>
          <w:sz w:val="24"/>
          <w:szCs w:val="24"/>
          <w:lang w:val="en-US"/>
        </w:rPr>
        <w:t xml:space="preserve">, and the reduction is substantial.  Briggs does not disclose the discount rate used, but use of the yield on ten-year Australian government bonds (averaged over the period Feb 2020-Jan 2021, of 0.9%) </w:t>
      </w:r>
      <w:r w:rsidR="00626266">
        <w:rPr>
          <w:rFonts w:ascii="Times New Roman" w:hAnsi="Times New Roman" w:cs="Times New Roman"/>
          <w:sz w:val="24"/>
          <w:szCs w:val="24"/>
          <w:lang w:val="en-US"/>
        </w:rPr>
        <w:t xml:space="preserve">reduces the </w:t>
      </w:r>
      <w:r w:rsidR="00982870">
        <w:rPr>
          <w:rFonts w:ascii="Times New Roman" w:hAnsi="Times New Roman" w:cs="Times New Roman"/>
          <w:sz w:val="24"/>
          <w:szCs w:val="24"/>
          <w:lang w:val="en-US"/>
        </w:rPr>
        <w:t>result in Table 1 above</w:t>
      </w:r>
      <w:r w:rsidR="00626266">
        <w:rPr>
          <w:rFonts w:ascii="Times New Roman" w:hAnsi="Times New Roman" w:cs="Times New Roman"/>
          <w:sz w:val="24"/>
          <w:szCs w:val="24"/>
          <w:lang w:val="en-US"/>
        </w:rPr>
        <w:t xml:space="preserve"> from 4.7 years to 3.9 years.  Since this does not seem to be standard practice amongst health economists, I do not incorporate this additional adjustment.</w:t>
      </w:r>
    </w:p>
    <w:p w14:paraId="53B65A90" w14:textId="77777777" w:rsidR="00952E42" w:rsidRPr="001E4050" w:rsidRDefault="00952E42" w:rsidP="00952E42">
      <w:pPr>
        <w:spacing w:after="0" w:line="360" w:lineRule="auto"/>
        <w:jc w:val="both"/>
        <w:rPr>
          <w:rFonts w:ascii="Times New Roman" w:hAnsi="Times New Roman" w:cs="Times New Roman"/>
          <w:sz w:val="24"/>
          <w:szCs w:val="24"/>
          <w:lang w:val="en-US"/>
        </w:rPr>
      </w:pPr>
    </w:p>
    <w:p w14:paraId="15BD252D" w14:textId="77777777" w:rsidR="00952E42" w:rsidRDefault="00952E42" w:rsidP="00952E4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the QALYs saved by the Australian government pursuing lockdown rather than mitigation are estimated at </w:t>
      </w:r>
      <w:r w:rsidR="008D092F">
        <w:rPr>
          <w:rFonts w:ascii="Times New Roman" w:hAnsi="Times New Roman" w:cs="Times New Roman"/>
          <w:sz w:val="24"/>
          <w:szCs w:val="24"/>
          <w:lang w:val="en-US"/>
        </w:rPr>
        <w:t>up to 17</w:t>
      </w:r>
      <w:r w:rsidR="00EC50C2">
        <w:rPr>
          <w:rFonts w:ascii="Times New Roman" w:hAnsi="Times New Roman" w:cs="Times New Roman"/>
          <w:sz w:val="24"/>
          <w:szCs w:val="24"/>
          <w:lang w:val="en-US"/>
        </w:rPr>
        <w:t>,000</w:t>
      </w:r>
      <w:r w:rsidRPr="000718D5">
        <w:rPr>
          <w:rFonts w:ascii="Times New Roman" w:hAnsi="Times New Roman" w:cs="Times New Roman"/>
          <w:i/>
          <w:sz w:val="24"/>
          <w:szCs w:val="24"/>
          <w:lang w:val="en-US"/>
        </w:rPr>
        <w:t>N</w:t>
      </w:r>
      <w:r>
        <w:rPr>
          <w:rFonts w:ascii="Times New Roman" w:hAnsi="Times New Roman" w:cs="Times New Roman"/>
          <w:sz w:val="24"/>
          <w:szCs w:val="24"/>
          <w:lang w:val="en-US"/>
        </w:rPr>
        <w:t xml:space="preserve">*5*0.8 = </w:t>
      </w:r>
      <w:r w:rsidR="008D092F">
        <w:rPr>
          <w:rFonts w:ascii="Times New Roman" w:hAnsi="Times New Roman" w:cs="Times New Roman"/>
          <w:sz w:val="24"/>
          <w:szCs w:val="24"/>
          <w:lang w:val="en-US"/>
        </w:rPr>
        <w:t>68</w:t>
      </w:r>
      <w:r w:rsidR="00EC50C2">
        <w:rPr>
          <w:rFonts w:ascii="Times New Roman" w:hAnsi="Times New Roman" w:cs="Times New Roman"/>
          <w:sz w:val="24"/>
          <w:szCs w:val="24"/>
          <w:lang w:val="en-US"/>
        </w:rPr>
        <w:t>,000</w:t>
      </w:r>
      <w:r w:rsidRPr="00576077">
        <w:rPr>
          <w:rFonts w:ascii="Times New Roman" w:hAnsi="Times New Roman" w:cs="Times New Roman"/>
          <w:i/>
          <w:sz w:val="24"/>
          <w:szCs w:val="24"/>
          <w:lang w:val="en-US"/>
        </w:rPr>
        <w:t>N</w:t>
      </w:r>
      <w:r>
        <w:rPr>
          <w:rFonts w:ascii="Times New Roman" w:hAnsi="Times New Roman" w:cs="Times New Roman"/>
          <w:sz w:val="24"/>
          <w:szCs w:val="24"/>
          <w:lang w:val="en-US"/>
        </w:rPr>
        <w:t xml:space="preserve">.  This estimate is likely to be too high, </w:t>
      </w:r>
      <w:r w:rsidR="00B310D8">
        <w:rPr>
          <w:rFonts w:ascii="Times New Roman" w:hAnsi="Times New Roman" w:cs="Times New Roman"/>
          <w:sz w:val="24"/>
          <w:szCs w:val="24"/>
          <w:lang w:val="en-US"/>
        </w:rPr>
        <w:t>because 17,000 is too high and the 20% discount is too low.</w:t>
      </w:r>
    </w:p>
    <w:p w14:paraId="1447E12E" w14:textId="77777777" w:rsidR="00024811" w:rsidRDefault="00024811" w:rsidP="000B7E7F">
      <w:pPr>
        <w:spacing w:after="0" w:line="360" w:lineRule="auto"/>
        <w:jc w:val="both"/>
        <w:rPr>
          <w:rFonts w:ascii="Times New Roman" w:hAnsi="Times New Roman" w:cs="Times New Roman"/>
          <w:sz w:val="24"/>
          <w:szCs w:val="24"/>
          <w:lang w:val="en-US"/>
        </w:rPr>
      </w:pPr>
    </w:p>
    <w:p w14:paraId="24964D2C" w14:textId="77777777" w:rsidR="00FE5A0F" w:rsidRDefault="00C83148" w:rsidP="000B7E7F">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2.3 Expected GDP Losses</w:t>
      </w:r>
    </w:p>
    <w:p w14:paraId="351B51F3" w14:textId="77777777" w:rsidR="00FE5A0F" w:rsidRDefault="00FE5A0F" w:rsidP="00FE5A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Turning now to the costs of the lockdown policy, this principally takes the form of lost GDP.  Shortly before the pandemic arose, in December 2019, </w:t>
      </w:r>
      <w:r w:rsidR="006573BA">
        <w:rPr>
          <w:rFonts w:ascii="Times New Roman" w:hAnsi="Times New Roman" w:cs="Times New Roman"/>
          <w:sz w:val="24"/>
          <w:szCs w:val="24"/>
          <w:lang w:val="en-US"/>
        </w:rPr>
        <w:t xml:space="preserve">the Australian </w:t>
      </w:r>
      <w:r w:rsidR="004A7809">
        <w:rPr>
          <w:rFonts w:ascii="Times New Roman" w:hAnsi="Times New Roman" w:cs="Times New Roman"/>
          <w:sz w:val="24"/>
          <w:szCs w:val="24"/>
          <w:lang w:val="en-US"/>
        </w:rPr>
        <w:t>Treasury (2019, Table 1.2)</w:t>
      </w:r>
      <w:r>
        <w:rPr>
          <w:rFonts w:ascii="Times New Roman" w:hAnsi="Times New Roman" w:cs="Times New Roman"/>
          <w:sz w:val="24"/>
          <w:szCs w:val="24"/>
          <w:lang w:val="en-US"/>
        </w:rPr>
        <w:t xml:space="preserve"> forecasted Australia’s real GDP growth rates for 2019-20 till 2022-23 at the rates shown in the first row of Table 1.</w:t>
      </w:r>
      <w:r w:rsidR="00CB101F">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This is an estimate of growth </w:t>
      </w:r>
      <w:r w:rsidR="00C045D9">
        <w:rPr>
          <w:rFonts w:ascii="Times New Roman" w:hAnsi="Times New Roman" w:cs="Times New Roman"/>
          <w:sz w:val="24"/>
          <w:szCs w:val="24"/>
          <w:lang w:val="en-US"/>
        </w:rPr>
        <w:t>in the absence of the pandemic</w:t>
      </w:r>
      <w:r>
        <w:rPr>
          <w:rFonts w:ascii="Times New Roman" w:hAnsi="Times New Roman" w:cs="Times New Roman"/>
          <w:sz w:val="24"/>
          <w:szCs w:val="24"/>
          <w:lang w:val="en-US"/>
        </w:rPr>
        <w:t xml:space="preserve">.  </w:t>
      </w:r>
      <w:r w:rsidR="004A7809">
        <w:rPr>
          <w:rFonts w:ascii="Times New Roman" w:hAnsi="Times New Roman" w:cs="Times New Roman"/>
          <w:sz w:val="24"/>
          <w:szCs w:val="24"/>
          <w:lang w:val="en-US"/>
        </w:rPr>
        <w:t>Arbitrarily designat</w:t>
      </w:r>
      <w:r w:rsidR="00CB101F">
        <w:rPr>
          <w:rFonts w:ascii="Times New Roman" w:hAnsi="Times New Roman" w:cs="Times New Roman"/>
          <w:sz w:val="24"/>
          <w:szCs w:val="24"/>
          <w:lang w:val="en-US"/>
        </w:rPr>
        <w:t>ing 2018-19</w:t>
      </w:r>
      <w:r w:rsidR="004A7809">
        <w:rPr>
          <w:rFonts w:ascii="Times New Roman" w:hAnsi="Times New Roman" w:cs="Times New Roman"/>
          <w:sz w:val="24"/>
          <w:szCs w:val="24"/>
          <w:lang w:val="en-US"/>
        </w:rPr>
        <w:t xml:space="preserve"> GDP as 100, the GDP results under </w:t>
      </w:r>
      <w:r w:rsidR="00CB101F">
        <w:rPr>
          <w:rFonts w:ascii="Times New Roman" w:hAnsi="Times New Roman" w:cs="Times New Roman"/>
          <w:sz w:val="24"/>
          <w:szCs w:val="24"/>
          <w:lang w:val="en-US"/>
        </w:rPr>
        <w:t>this path are</w:t>
      </w:r>
      <w:r w:rsidR="004A7809">
        <w:rPr>
          <w:rFonts w:ascii="Times New Roman" w:hAnsi="Times New Roman" w:cs="Times New Roman"/>
          <w:sz w:val="24"/>
          <w:szCs w:val="24"/>
          <w:lang w:val="en-US"/>
        </w:rPr>
        <w:t xml:space="preserve"> shown in the next row of the table.  </w:t>
      </w:r>
      <w:r>
        <w:rPr>
          <w:rFonts w:ascii="Times New Roman" w:hAnsi="Times New Roman" w:cs="Times New Roman"/>
          <w:sz w:val="24"/>
          <w:szCs w:val="24"/>
          <w:lang w:val="en-US"/>
        </w:rPr>
        <w:t xml:space="preserve">In </w:t>
      </w:r>
      <w:r w:rsidR="00A10225">
        <w:rPr>
          <w:rFonts w:ascii="Times New Roman" w:hAnsi="Times New Roman" w:cs="Times New Roman"/>
          <w:sz w:val="24"/>
          <w:szCs w:val="24"/>
          <w:lang w:val="en-US"/>
        </w:rPr>
        <w:t xml:space="preserve">December </w:t>
      </w:r>
      <w:r w:rsidR="00E5410A">
        <w:rPr>
          <w:rFonts w:ascii="Times New Roman" w:hAnsi="Times New Roman" w:cs="Times New Roman"/>
          <w:sz w:val="24"/>
          <w:szCs w:val="24"/>
          <w:lang w:val="en-US"/>
        </w:rPr>
        <w:t>2020</w:t>
      </w:r>
      <w:r w:rsidR="00A10225">
        <w:rPr>
          <w:rFonts w:ascii="Times New Roman" w:hAnsi="Times New Roman" w:cs="Times New Roman"/>
          <w:sz w:val="24"/>
          <w:szCs w:val="24"/>
          <w:lang w:val="en-US"/>
        </w:rPr>
        <w:t xml:space="preserve"> they released updates as shown in the third row of the table</w:t>
      </w:r>
      <w:r w:rsidR="00E5410A">
        <w:rPr>
          <w:rFonts w:ascii="Times New Roman" w:hAnsi="Times New Roman" w:cs="Times New Roman"/>
          <w:sz w:val="24"/>
          <w:szCs w:val="24"/>
          <w:lang w:val="en-US"/>
        </w:rPr>
        <w:t xml:space="preserve"> (Australian T</w:t>
      </w:r>
      <w:r w:rsidR="004E67F3">
        <w:rPr>
          <w:rFonts w:ascii="Times New Roman" w:hAnsi="Times New Roman" w:cs="Times New Roman"/>
          <w:sz w:val="24"/>
          <w:szCs w:val="24"/>
          <w:lang w:val="en-US"/>
        </w:rPr>
        <w:t>reasury, 2020, Table 1.1</w:t>
      </w:r>
      <w:r w:rsidR="00E5410A">
        <w:rPr>
          <w:rFonts w:ascii="Times New Roman" w:hAnsi="Times New Roman" w:cs="Times New Roman"/>
          <w:sz w:val="24"/>
          <w:szCs w:val="24"/>
          <w:lang w:val="en-US"/>
        </w:rPr>
        <w:t>)</w:t>
      </w:r>
      <w:r w:rsidR="004A7809">
        <w:rPr>
          <w:rFonts w:ascii="Times New Roman" w:hAnsi="Times New Roman" w:cs="Times New Roman"/>
          <w:sz w:val="24"/>
          <w:szCs w:val="24"/>
          <w:lang w:val="en-US"/>
        </w:rPr>
        <w:t>, with the implied GDP path in the fourth row.</w:t>
      </w:r>
      <w:r w:rsidR="00A102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EE6D6C">
        <w:rPr>
          <w:rFonts w:ascii="Times New Roman" w:hAnsi="Times New Roman" w:cs="Times New Roman"/>
          <w:sz w:val="24"/>
          <w:szCs w:val="24"/>
          <w:lang w:val="en-US"/>
        </w:rPr>
        <w:t xml:space="preserve">last row of the table shows the </w:t>
      </w:r>
      <w:r>
        <w:rPr>
          <w:rFonts w:ascii="Times New Roman" w:hAnsi="Times New Roman" w:cs="Times New Roman"/>
          <w:sz w:val="24"/>
          <w:szCs w:val="24"/>
          <w:lang w:val="en-US"/>
        </w:rPr>
        <w:t xml:space="preserve">difference between the </w:t>
      </w:r>
      <w:r w:rsidR="00A10225">
        <w:rPr>
          <w:rFonts w:ascii="Times New Roman" w:hAnsi="Times New Roman" w:cs="Times New Roman"/>
          <w:sz w:val="24"/>
          <w:szCs w:val="24"/>
          <w:lang w:val="en-US"/>
        </w:rPr>
        <w:t>two paths</w:t>
      </w:r>
      <w:r w:rsidR="00EE6D6C">
        <w:rPr>
          <w:rFonts w:ascii="Times New Roman" w:hAnsi="Times New Roman" w:cs="Times New Roman"/>
          <w:sz w:val="24"/>
          <w:szCs w:val="24"/>
          <w:lang w:val="en-US"/>
        </w:rPr>
        <w:t xml:space="preserve">, which aggregates to </w:t>
      </w:r>
      <w:r w:rsidR="00CB101F">
        <w:rPr>
          <w:rFonts w:ascii="Times New Roman" w:hAnsi="Times New Roman" w:cs="Times New Roman"/>
          <w:sz w:val="24"/>
          <w:szCs w:val="24"/>
          <w:lang w:val="en-US"/>
        </w:rPr>
        <w:t>21.3</w:t>
      </w:r>
      <w:r w:rsidR="00E603E2">
        <w:rPr>
          <w:rFonts w:ascii="Times New Roman" w:hAnsi="Times New Roman" w:cs="Times New Roman"/>
          <w:sz w:val="24"/>
          <w:szCs w:val="24"/>
          <w:lang w:val="en-US"/>
        </w:rPr>
        <w:t xml:space="preserve">, </w:t>
      </w:r>
      <w:r w:rsidR="00EE6D6C">
        <w:rPr>
          <w:rFonts w:ascii="Times New Roman" w:hAnsi="Times New Roman" w:cs="Times New Roman"/>
          <w:sz w:val="24"/>
          <w:szCs w:val="24"/>
          <w:lang w:val="en-US"/>
        </w:rPr>
        <w:t xml:space="preserve">i.e., </w:t>
      </w:r>
      <w:r w:rsidR="00CB101F">
        <w:rPr>
          <w:rFonts w:ascii="Times New Roman" w:hAnsi="Times New Roman" w:cs="Times New Roman"/>
          <w:sz w:val="24"/>
          <w:szCs w:val="24"/>
          <w:lang w:val="en-US"/>
        </w:rPr>
        <w:t>21.3%</w:t>
      </w:r>
      <w:r>
        <w:rPr>
          <w:rFonts w:ascii="Times New Roman" w:hAnsi="Times New Roman" w:cs="Times New Roman"/>
          <w:sz w:val="24"/>
          <w:szCs w:val="24"/>
          <w:lang w:val="en-US"/>
        </w:rPr>
        <w:t xml:space="preserve"> of </w:t>
      </w:r>
      <w:r w:rsidR="00E603E2">
        <w:rPr>
          <w:rFonts w:ascii="Times New Roman" w:hAnsi="Times New Roman" w:cs="Times New Roman"/>
          <w:sz w:val="24"/>
          <w:szCs w:val="24"/>
          <w:lang w:val="en-US"/>
        </w:rPr>
        <w:t xml:space="preserve">Australia’s </w:t>
      </w:r>
      <w:r w:rsidR="008F7E03">
        <w:rPr>
          <w:rFonts w:ascii="Times New Roman" w:hAnsi="Times New Roman" w:cs="Times New Roman"/>
          <w:sz w:val="24"/>
          <w:szCs w:val="24"/>
          <w:lang w:val="en-US"/>
        </w:rPr>
        <w:t>2018-19</w:t>
      </w:r>
      <w:r>
        <w:rPr>
          <w:rFonts w:ascii="Times New Roman" w:hAnsi="Times New Roman" w:cs="Times New Roman"/>
          <w:sz w:val="24"/>
          <w:szCs w:val="24"/>
          <w:lang w:val="en-US"/>
        </w:rPr>
        <w:t xml:space="preserve"> GDP.  Since </w:t>
      </w:r>
      <w:r w:rsidR="008B2FC6">
        <w:rPr>
          <w:rFonts w:ascii="Times New Roman" w:hAnsi="Times New Roman" w:cs="Times New Roman"/>
          <w:sz w:val="24"/>
          <w:szCs w:val="24"/>
          <w:lang w:val="en-US"/>
        </w:rPr>
        <w:t xml:space="preserve">Australia’s 2018-19 GDP was $1,950b, </w:t>
      </w:r>
      <w:r w:rsidR="00CB101F">
        <w:rPr>
          <w:rFonts w:ascii="Times New Roman" w:hAnsi="Times New Roman" w:cs="Times New Roman"/>
          <w:sz w:val="24"/>
          <w:szCs w:val="24"/>
          <w:lang w:val="en-US"/>
        </w:rPr>
        <w:t>this is $415</w:t>
      </w:r>
      <w:r>
        <w:rPr>
          <w:rFonts w:ascii="Times New Roman" w:hAnsi="Times New Roman" w:cs="Times New Roman"/>
          <w:sz w:val="24"/>
          <w:szCs w:val="24"/>
          <w:lang w:val="en-US"/>
        </w:rPr>
        <w:t>b.</w:t>
      </w:r>
      <w:r w:rsidR="00D72842">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r w:rsidR="001A4868">
        <w:rPr>
          <w:rFonts w:ascii="Times New Roman" w:hAnsi="Times New Roman" w:cs="Times New Roman"/>
          <w:sz w:val="24"/>
          <w:szCs w:val="24"/>
          <w:lang w:val="en-US"/>
        </w:rPr>
        <w:t xml:space="preserve">This estimate is conservative because the two real GDP forecast paths in Table 2 have not converged over the period for which the forecasts are available (out to </w:t>
      </w:r>
      <w:proofErr w:type="spellStart"/>
      <w:r w:rsidR="001A4868">
        <w:rPr>
          <w:rFonts w:ascii="Times New Roman" w:hAnsi="Times New Roman" w:cs="Times New Roman"/>
          <w:sz w:val="24"/>
          <w:szCs w:val="24"/>
          <w:lang w:val="en-US"/>
        </w:rPr>
        <w:t>mid 2024</w:t>
      </w:r>
      <w:proofErr w:type="spellEnd"/>
      <w:r w:rsidR="001A4868">
        <w:rPr>
          <w:rFonts w:ascii="Times New Roman" w:hAnsi="Times New Roman" w:cs="Times New Roman"/>
          <w:sz w:val="24"/>
          <w:szCs w:val="24"/>
          <w:lang w:val="en-US"/>
        </w:rPr>
        <w:t xml:space="preserve">).  </w:t>
      </w:r>
      <w:r w:rsidR="00151058">
        <w:rPr>
          <w:rFonts w:ascii="Times New Roman" w:hAnsi="Times New Roman" w:cs="Times New Roman"/>
          <w:sz w:val="24"/>
          <w:szCs w:val="24"/>
          <w:lang w:val="en-US"/>
        </w:rPr>
        <w:t xml:space="preserve">By comparison, Pujol (2020, Table 1) reports estimates of this type from nine </w:t>
      </w:r>
      <w:r w:rsidR="00151058">
        <w:rPr>
          <w:rFonts w:ascii="Times New Roman" w:hAnsi="Times New Roman" w:cs="Times New Roman"/>
          <w:sz w:val="24"/>
          <w:szCs w:val="24"/>
          <w:lang w:val="en-US"/>
        </w:rPr>
        <w:lastRenderedPageBreak/>
        <w:t xml:space="preserve">advanced economies that locked down, </w:t>
      </w:r>
      <w:r w:rsidR="00AB79EA">
        <w:rPr>
          <w:rFonts w:ascii="Times New Roman" w:hAnsi="Times New Roman" w:cs="Times New Roman"/>
          <w:sz w:val="24"/>
          <w:szCs w:val="24"/>
          <w:lang w:val="en-US"/>
        </w:rPr>
        <w:t xml:space="preserve">using data from Consensus Economics, </w:t>
      </w:r>
      <w:r w:rsidR="00151058">
        <w:rPr>
          <w:rFonts w:ascii="Times New Roman" w:hAnsi="Times New Roman" w:cs="Times New Roman"/>
          <w:sz w:val="24"/>
          <w:szCs w:val="24"/>
          <w:lang w:val="en-US"/>
        </w:rPr>
        <w:t xml:space="preserve">and the median </w:t>
      </w:r>
      <w:r w:rsidR="00F10824">
        <w:rPr>
          <w:rFonts w:ascii="Times New Roman" w:hAnsi="Times New Roman" w:cs="Times New Roman"/>
          <w:sz w:val="24"/>
          <w:szCs w:val="24"/>
          <w:lang w:val="en-US"/>
        </w:rPr>
        <w:t xml:space="preserve">loss </w:t>
      </w:r>
      <w:r w:rsidR="00151058">
        <w:rPr>
          <w:rFonts w:ascii="Times New Roman" w:hAnsi="Times New Roman" w:cs="Times New Roman"/>
          <w:sz w:val="24"/>
          <w:szCs w:val="24"/>
          <w:lang w:val="en-US"/>
        </w:rPr>
        <w:t xml:space="preserve">is 25%.  </w:t>
      </w:r>
      <w:r w:rsidR="0072114B">
        <w:rPr>
          <w:rFonts w:ascii="Times New Roman" w:hAnsi="Times New Roman" w:cs="Times New Roman"/>
          <w:sz w:val="24"/>
          <w:szCs w:val="24"/>
          <w:lang w:val="en-US"/>
        </w:rPr>
        <w:t>Gomez-Pineda, 2020, Figure 1) also graphically presents annual estimates of this type for both advanced and developing economies</w:t>
      </w:r>
      <w:r w:rsidR="00076D1B">
        <w:rPr>
          <w:rFonts w:ascii="Times New Roman" w:hAnsi="Times New Roman" w:cs="Times New Roman"/>
          <w:sz w:val="24"/>
          <w:szCs w:val="24"/>
          <w:lang w:val="en-US"/>
        </w:rPr>
        <w:t xml:space="preserve"> (each aggregated)</w:t>
      </w:r>
      <w:r w:rsidR="0072114B">
        <w:rPr>
          <w:rFonts w:ascii="Times New Roman" w:hAnsi="Times New Roman" w:cs="Times New Roman"/>
          <w:sz w:val="24"/>
          <w:szCs w:val="24"/>
          <w:lang w:val="en-US"/>
        </w:rPr>
        <w:t xml:space="preserve">, and the Australian estimates </w:t>
      </w:r>
      <w:r w:rsidR="00C91840">
        <w:rPr>
          <w:rFonts w:ascii="Times New Roman" w:hAnsi="Times New Roman" w:cs="Times New Roman"/>
          <w:sz w:val="24"/>
          <w:szCs w:val="24"/>
          <w:lang w:val="en-US"/>
        </w:rPr>
        <w:t xml:space="preserve">are lower than </w:t>
      </w:r>
      <w:r w:rsidR="0072114B">
        <w:rPr>
          <w:rFonts w:ascii="Times New Roman" w:hAnsi="Times New Roman" w:cs="Times New Roman"/>
          <w:sz w:val="24"/>
          <w:szCs w:val="24"/>
          <w:lang w:val="en-US"/>
        </w:rPr>
        <w:t>the former and even more so for the latter.</w:t>
      </w:r>
    </w:p>
    <w:p w14:paraId="74239D42" w14:textId="77777777" w:rsidR="00FE061D" w:rsidRDefault="00FE061D" w:rsidP="00FE5A0F">
      <w:pPr>
        <w:spacing w:after="0" w:line="360" w:lineRule="auto"/>
        <w:jc w:val="both"/>
        <w:rPr>
          <w:rFonts w:ascii="Times New Roman" w:hAnsi="Times New Roman" w:cs="Times New Roman"/>
          <w:sz w:val="24"/>
          <w:szCs w:val="24"/>
          <w:lang w:val="en-US"/>
        </w:rPr>
      </w:pPr>
    </w:p>
    <w:p w14:paraId="1554DFD8" w14:textId="77777777" w:rsidR="00235FB6" w:rsidRDefault="00235FB6" w:rsidP="00FE5A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these GDP losses of $415b would have arisen without any Australian government-imposed </w:t>
      </w:r>
      <w:proofErr w:type="gramStart"/>
      <w:r>
        <w:rPr>
          <w:rFonts w:ascii="Times New Roman" w:hAnsi="Times New Roman" w:cs="Times New Roman"/>
          <w:sz w:val="24"/>
          <w:szCs w:val="24"/>
          <w:lang w:val="en-US"/>
        </w:rPr>
        <w:t>lockdowns, because</w:t>
      </w:r>
      <w:proofErr w:type="gramEnd"/>
      <w:r>
        <w:rPr>
          <w:rFonts w:ascii="Times New Roman" w:hAnsi="Times New Roman" w:cs="Times New Roman"/>
          <w:sz w:val="24"/>
          <w:szCs w:val="24"/>
          <w:lang w:val="en-US"/>
        </w:rPr>
        <w:t xml:space="preserve"> some people would have reduced their interactions with others anyway; for example, a foreigner electing not to make a trip to Australia that they would otherwise have made, or an Australian choosing to avoid cafes.  Further losses would have arisen due to the additional actions of foreign governments; for example, foreign governments preventing or discouraging their citizens from making foreign trips.  Further losses would have arisen if the Australian government had followed merely a mitigation strategy, which includes border closures.  Finally, further losses would have arisen from the Australian government instead following a lockdown strategy.  It is only the last category of these losses that can be attributed to the Australian government choosing a lockdown policy </w:t>
      </w:r>
      <w:r w:rsidR="00841E2E">
        <w:rPr>
          <w:rFonts w:ascii="Times New Roman" w:hAnsi="Times New Roman" w:cs="Times New Roman"/>
          <w:sz w:val="24"/>
          <w:szCs w:val="24"/>
          <w:lang w:val="en-US"/>
        </w:rPr>
        <w:t>rather than a mitigation policy.</w:t>
      </w:r>
    </w:p>
    <w:p w14:paraId="741C267A" w14:textId="77777777" w:rsidR="00841E2E" w:rsidRDefault="00841E2E" w:rsidP="00FE5A0F">
      <w:pPr>
        <w:spacing w:after="0" w:line="360" w:lineRule="auto"/>
        <w:jc w:val="both"/>
        <w:rPr>
          <w:rFonts w:ascii="Times New Roman" w:hAnsi="Times New Roman" w:cs="Times New Roman"/>
          <w:sz w:val="24"/>
          <w:szCs w:val="24"/>
          <w:lang w:val="en-US"/>
        </w:rPr>
      </w:pPr>
    </w:p>
    <w:p w14:paraId="76FCFB52" w14:textId="77777777" w:rsidR="00FE5A0F" w:rsidRDefault="008702F9" w:rsidP="00FE5A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2</w:t>
      </w:r>
      <w:r w:rsidR="00FE5A0F">
        <w:rPr>
          <w:rFonts w:ascii="Times New Roman" w:hAnsi="Times New Roman" w:cs="Times New Roman"/>
          <w:sz w:val="24"/>
          <w:szCs w:val="24"/>
          <w:lang w:val="en-US"/>
        </w:rPr>
        <w:t>: GDP Forecasts</w:t>
      </w:r>
    </w:p>
    <w:p w14:paraId="6242734C" w14:textId="77777777" w:rsidR="00FE5A0F" w:rsidRDefault="00FE5A0F" w:rsidP="00FE5A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2A4E03DA" w14:textId="77777777" w:rsidR="00FE5A0F" w:rsidRDefault="00A10225" w:rsidP="00FE5A0F">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19-20</w:t>
      </w:r>
      <w:r w:rsidR="00FE5A0F">
        <w:rPr>
          <w:rFonts w:ascii="Times New Roman" w:hAnsi="Times New Roman" w:cs="Times New Roman"/>
          <w:sz w:val="24"/>
          <w:szCs w:val="24"/>
          <w:lang w:val="en-US"/>
        </w:rPr>
        <w:tab/>
        <w:t>20</w:t>
      </w:r>
      <w:r>
        <w:rPr>
          <w:rFonts w:ascii="Times New Roman" w:hAnsi="Times New Roman" w:cs="Times New Roman"/>
          <w:sz w:val="24"/>
          <w:szCs w:val="24"/>
          <w:lang w:val="en-US"/>
        </w:rPr>
        <w:t>-21</w:t>
      </w:r>
      <w:r>
        <w:rPr>
          <w:rFonts w:ascii="Times New Roman" w:hAnsi="Times New Roman" w:cs="Times New Roman"/>
          <w:sz w:val="24"/>
          <w:szCs w:val="24"/>
          <w:lang w:val="en-US"/>
        </w:rPr>
        <w:tab/>
        <w:t>21-22</w:t>
      </w:r>
      <w:r>
        <w:rPr>
          <w:rFonts w:ascii="Times New Roman" w:hAnsi="Times New Roman" w:cs="Times New Roman"/>
          <w:sz w:val="24"/>
          <w:szCs w:val="24"/>
          <w:lang w:val="en-US"/>
        </w:rPr>
        <w:tab/>
        <w:t>22-23</w:t>
      </w:r>
      <w:r>
        <w:rPr>
          <w:rFonts w:ascii="Times New Roman" w:hAnsi="Times New Roman" w:cs="Times New Roman"/>
          <w:sz w:val="24"/>
          <w:szCs w:val="24"/>
          <w:lang w:val="en-US"/>
        </w:rPr>
        <w:tab/>
        <w:t>23-</w:t>
      </w:r>
      <w:r w:rsidR="00FE5A0F">
        <w:rPr>
          <w:rFonts w:ascii="Times New Roman" w:hAnsi="Times New Roman" w:cs="Times New Roman"/>
          <w:sz w:val="24"/>
          <w:szCs w:val="24"/>
          <w:lang w:val="en-US"/>
        </w:rPr>
        <w:t>24</w:t>
      </w:r>
      <w:r w:rsidR="00FE5A0F">
        <w:rPr>
          <w:rFonts w:ascii="Times New Roman" w:hAnsi="Times New Roman" w:cs="Times New Roman"/>
          <w:sz w:val="24"/>
          <w:szCs w:val="24"/>
          <w:lang w:val="en-US"/>
        </w:rPr>
        <w:tab/>
        <w:t>Sum</w:t>
      </w:r>
    </w:p>
    <w:p w14:paraId="0DF6827D" w14:textId="77777777" w:rsidR="00FE5A0F" w:rsidRDefault="00FE5A0F"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44F8A30B" w14:textId="77777777" w:rsidR="00FE5A0F" w:rsidRDefault="00FE5A0F"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 2019 Forecasts</w:t>
      </w:r>
      <w:r>
        <w:rPr>
          <w:rFonts w:ascii="Times New Roman" w:hAnsi="Times New Roman" w:cs="Times New Roman"/>
          <w:sz w:val="24"/>
          <w:szCs w:val="24"/>
          <w:lang w:val="en-US"/>
        </w:rPr>
        <w:tab/>
        <w:t>2.2</w:t>
      </w:r>
      <w:r w:rsidR="00A10225">
        <w:rPr>
          <w:rFonts w:ascii="Times New Roman" w:hAnsi="Times New Roman" w:cs="Times New Roman"/>
          <w:sz w:val="24"/>
          <w:szCs w:val="24"/>
          <w:lang w:val="en-US"/>
        </w:rPr>
        <w:t>5%</w:t>
      </w:r>
      <w:r w:rsidR="00A10225">
        <w:rPr>
          <w:rFonts w:ascii="Times New Roman" w:hAnsi="Times New Roman" w:cs="Times New Roman"/>
          <w:sz w:val="24"/>
          <w:szCs w:val="24"/>
          <w:lang w:val="en-US"/>
        </w:rPr>
        <w:tab/>
        <w:t>2.75%</w:t>
      </w:r>
      <w:r w:rsidR="00A10225">
        <w:rPr>
          <w:rFonts w:ascii="Times New Roman" w:hAnsi="Times New Roman" w:cs="Times New Roman"/>
          <w:sz w:val="24"/>
          <w:szCs w:val="24"/>
          <w:lang w:val="en-US"/>
        </w:rPr>
        <w:tab/>
        <w:t>3.0%</w:t>
      </w:r>
      <w:r w:rsidR="00A10225">
        <w:rPr>
          <w:rFonts w:ascii="Times New Roman" w:hAnsi="Times New Roman" w:cs="Times New Roman"/>
          <w:sz w:val="24"/>
          <w:szCs w:val="24"/>
          <w:lang w:val="en-US"/>
        </w:rPr>
        <w:tab/>
        <w:t>3.0%</w:t>
      </w:r>
      <w:r w:rsidR="00A10225">
        <w:rPr>
          <w:rFonts w:ascii="Times New Roman" w:hAnsi="Times New Roman" w:cs="Times New Roman"/>
          <w:sz w:val="24"/>
          <w:szCs w:val="24"/>
          <w:lang w:val="en-US"/>
        </w:rPr>
        <w:tab/>
        <w:t>3.0</w:t>
      </w:r>
      <w:r>
        <w:rPr>
          <w:rFonts w:ascii="Times New Roman" w:hAnsi="Times New Roman" w:cs="Times New Roman"/>
          <w:sz w:val="24"/>
          <w:szCs w:val="24"/>
          <w:lang w:val="en-US"/>
        </w:rPr>
        <w:t>%</w:t>
      </w:r>
    </w:p>
    <w:p w14:paraId="1193A83A" w14:textId="77777777" w:rsidR="00FE5A0F" w:rsidRDefault="00A10225"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t>102</w:t>
      </w:r>
      <w:r w:rsidR="008702F9">
        <w:rPr>
          <w:rFonts w:ascii="Times New Roman" w:hAnsi="Times New Roman" w:cs="Times New Roman"/>
          <w:sz w:val="24"/>
          <w:szCs w:val="24"/>
          <w:lang w:val="en-US"/>
        </w:rPr>
        <w:t>.3</w:t>
      </w:r>
      <w:r w:rsidR="008702F9">
        <w:rPr>
          <w:rFonts w:ascii="Times New Roman" w:hAnsi="Times New Roman" w:cs="Times New Roman"/>
          <w:sz w:val="24"/>
          <w:szCs w:val="24"/>
          <w:lang w:val="en-US"/>
        </w:rPr>
        <w:tab/>
        <w:t>105.1</w:t>
      </w:r>
      <w:r w:rsidR="008702F9">
        <w:rPr>
          <w:rFonts w:ascii="Times New Roman" w:hAnsi="Times New Roman" w:cs="Times New Roman"/>
          <w:sz w:val="24"/>
          <w:szCs w:val="24"/>
          <w:lang w:val="en-US"/>
        </w:rPr>
        <w:tab/>
        <w:t>108.2</w:t>
      </w:r>
      <w:r w:rsidR="008702F9">
        <w:rPr>
          <w:rFonts w:ascii="Times New Roman" w:hAnsi="Times New Roman" w:cs="Times New Roman"/>
          <w:sz w:val="24"/>
          <w:szCs w:val="24"/>
          <w:lang w:val="en-US"/>
        </w:rPr>
        <w:tab/>
        <w:t>111.5</w:t>
      </w:r>
      <w:r w:rsidR="008702F9">
        <w:rPr>
          <w:rFonts w:ascii="Times New Roman" w:hAnsi="Times New Roman" w:cs="Times New Roman"/>
          <w:sz w:val="24"/>
          <w:szCs w:val="24"/>
          <w:lang w:val="en-US"/>
        </w:rPr>
        <w:tab/>
        <w:t>114.8</w:t>
      </w:r>
      <w:r w:rsidR="008702F9">
        <w:rPr>
          <w:rFonts w:ascii="Times New Roman" w:hAnsi="Times New Roman" w:cs="Times New Roman"/>
          <w:sz w:val="24"/>
          <w:szCs w:val="24"/>
          <w:lang w:val="en-US"/>
        </w:rPr>
        <w:tab/>
      </w:r>
    </w:p>
    <w:p w14:paraId="68A97AA1" w14:textId="77777777" w:rsidR="00FE5A0F" w:rsidRDefault="00A10225"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 </w:t>
      </w:r>
      <w:r w:rsidR="00FE5A0F">
        <w:rPr>
          <w:rFonts w:ascii="Times New Roman" w:hAnsi="Times New Roman" w:cs="Times New Roman"/>
          <w:sz w:val="24"/>
          <w:szCs w:val="24"/>
          <w:lang w:val="en-US"/>
        </w:rPr>
        <w:t>2020 Forecasts</w:t>
      </w:r>
      <w:r w:rsidR="00CA359E">
        <w:rPr>
          <w:rFonts w:ascii="Times New Roman" w:hAnsi="Times New Roman" w:cs="Times New Roman"/>
          <w:sz w:val="24"/>
          <w:szCs w:val="24"/>
          <w:lang w:val="en-US"/>
        </w:rPr>
        <w:tab/>
        <w:t>-0.2%</w:t>
      </w:r>
      <w:r w:rsidR="00CA359E">
        <w:rPr>
          <w:rFonts w:ascii="Times New Roman" w:hAnsi="Times New Roman" w:cs="Times New Roman"/>
          <w:sz w:val="24"/>
          <w:szCs w:val="24"/>
          <w:lang w:val="en-US"/>
        </w:rPr>
        <w:tab/>
        <w:t>0.75%</w:t>
      </w:r>
      <w:r w:rsidR="00CA359E">
        <w:rPr>
          <w:rFonts w:ascii="Times New Roman" w:hAnsi="Times New Roman" w:cs="Times New Roman"/>
          <w:sz w:val="24"/>
          <w:szCs w:val="24"/>
          <w:lang w:val="en-US"/>
        </w:rPr>
        <w:tab/>
        <w:t>3.5%</w:t>
      </w:r>
      <w:r w:rsidR="00CA359E">
        <w:rPr>
          <w:rFonts w:ascii="Times New Roman" w:hAnsi="Times New Roman" w:cs="Times New Roman"/>
          <w:sz w:val="24"/>
          <w:szCs w:val="24"/>
          <w:lang w:val="en-US"/>
        </w:rPr>
        <w:tab/>
        <w:t>2.5%</w:t>
      </w:r>
      <w:r w:rsidR="00CA359E">
        <w:rPr>
          <w:rFonts w:ascii="Times New Roman" w:hAnsi="Times New Roman" w:cs="Times New Roman"/>
          <w:sz w:val="24"/>
          <w:szCs w:val="24"/>
          <w:lang w:val="en-US"/>
        </w:rPr>
        <w:tab/>
        <w:t>2.75%</w:t>
      </w:r>
    </w:p>
    <w:p w14:paraId="48D27038" w14:textId="77777777" w:rsidR="00FE5A0F" w:rsidRDefault="00FE5A0F"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r>
      <w:r w:rsidR="00CA359E">
        <w:rPr>
          <w:rFonts w:ascii="Times New Roman" w:hAnsi="Times New Roman" w:cs="Times New Roman"/>
          <w:sz w:val="24"/>
          <w:szCs w:val="24"/>
          <w:lang w:val="en-US"/>
        </w:rPr>
        <w:t>99.8</w:t>
      </w:r>
      <w:r w:rsidR="00CA359E">
        <w:rPr>
          <w:rFonts w:ascii="Times New Roman" w:hAnsi="Times New Roman" w:cs="Times New Roman"/>
          <w:sz w:val="24"/>
          <w:szCs w:val="24"/>
          <w:lang w:val="en-US"/>
        </w:rPr>
        <w:tab/>
        <w:t>100.5</w:t>
      </w:r>
      <w:r w:rsidR="00CA359E">
        <w:rPr>
          <w:rFonts w:ascii="Times New Roman" w:hAnsi="Times New Roman" w:cs="Times New Roman"/>
          <w:sz w:val="24"/>
          <w:szCs w:val="24"/>
          <w:lang w:val="en-US"/>
        </w:rPr>
        <w:tab/>
        <w:t>104.1</w:t>
      </w:r>
      <w:r w:rsidR="00CA359E">
        <w:rPr>
          <w:rFonts w:ascii="Times New Roman" w:hAnsi="Times New Roman" w:cs="Times New Roman"/>
          <w:sz w:val="24"/>
          <w:szCs w:val="24"/>
          <w:lang w:val="en-US"/>
        </w:rPr>
        <w:tab/>
        <w:t>106.6</w:t>
      </w:r>
      <w:r>
        <w:rPr>
          <w:rFonts w:ascii="Times New Roman" w:hAnsi="Times New Roman" w:cs="Times New Roman"/>
          <w:sz w:val="24"/>
          <w:szCs w:val="24"/>
          <w:lang w:val="en-US"/>
        </w:rPr>
        <w:tab/>
      </w:r>
      <w:r w:rsidR="00CA359E">
        <w:rPr>
          <w:rFonts w:ascii="Times New Roman" w:hAnsi="Times New Roman" w:cs="Times New Roman"/>
          <w:sz w:val="24"/>
          <w:szCs w:val="24"/>
          <w:lang w:val="en-US"/>
        </w:rPr>
        <w:t>109.6</w:t>
      </w:r>
      <w:r>
        <w:rPr>
          <w:rFonts w:ascii="Times New Roman" w:hAnsi="Times New Roman" w:cs="Times New Roman"/>
          <w:sz w:val="24"/>
          <w:szCs w:val="24"/>
          <w:lang w:val="en-US"/>
        </w:rPr>
        <w:tab/>
      </w:r>
    </w:p>
    <w:p w14:paraId="4C27E63D" w14:textId="77777777" w:rsidR="00EE6D6C" w:rsidRDefault="00CA359E" w:rsidP="00B824CD">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Shortfall</w:t>
      </w:r>
      <w:r>
        <w:rPr>
          <w:rFonts w:ascii="Times New Roman" w:hAnsi="Times New Roman" w:cs="Times New Roman"/>
          <w:sz w:val="24"/>
          <w:szCs w:val="24"/>
          <w:lang w:val="en-US"/>
        </w:rPr>
        <w:tab/>
        <w:t>2.5</w:t>
      </w:r>
      <w:r>
        <w:rPr>
          <w:rFonts w:ascii="Times New Roman" w:hAnsi="Times New Roman" w:cs="Times New Roman"/>
          <w:sz w:val="24"/>
          <w:szCs w:val="24"/>
          <w:lang w:val="en-US"/>
        </w:rPr>
        <w:tab/>
        <w:t>4.6</w:t>
      </w:r>
      <w:r>
        <w:rPr>
          <w:rFonts w:ascii="Times New Roman" w:hAnsi="Times New Roman" w:cs="Times New Roman"/>
          <w:sz w:val="24"/>
          <w:szCs w:val="24"/>
          <w:lang w:val="en-US"/>
        </w:rPr>
        <w:tab/>
        <w:t>4.1</w:t>
      </w:r>
      <w:r>
        <w:rPr>
          <w:rFonts w:ascii="Times New Roman" w:hAnsi="Times New Roman" w:cs="Times New Roman"/>
          <w:sz w:val="24"/>
          <w:szCs w:val="24"/>
          <w:lang w:val="en-US"/>
        </w:rPr>
        <w:tab/>
        <w:t>4.9</w:t>
      </w:r>
      <w:r>
        <w:rPr>
          <w:rFonts w:ascii="Times New Roman" w:hAnsi="Times New Roman" w:cs="Times New Roman"/>
          <w:sz w:val="24"/>
          <w:szCs w:val="24"/>
          <w:lang w:val="en-US"/>
        </w:rPr>
        <w:tab/>
        <w:t>5.2</w:t>
      </w:r>
      <w:r>
        <w:rPr>
          <w:rFonts w:ascii="Times New Roman" w:hAnsi="Times New Roman" w:cs="Times New Roman"/>
          <w:sz w:val="24"/>
          <w:szCs w:val="24"/>
          <w:lang w:val="en-US"/>
        </w:rPr>
        <w:tab/>
        <w:t>21.3</w:t>
      </w:r>
    </w:p>
    <w:p w14:paraId="31B8A075" w14:textId="77777777" w:rsidR="00FE5A0F" w:rsidRDefault="00FE5A0F" w:rsidP="00FE5A0F">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12F06A5E" w14:textId="77777777" w:rsidR="00D72842" w:rsidRDefault="00D72842" w:rsidP="00CE7CC3">
      <w:pPr>
        <w:spacing w:after="0" w:line="360" w:lineRule="auto"/>
        <w:jc w:val="both"/>
        <w:rPr>
          <w:rFonts w:ascii="Times New Roman" w:hAnsi="Times New Roman" w:cs="Times New Roman"/>
          <w:sz w:val="24"/>
          <w:szCs w:val="24"/>
          <w:lang w:val="en-US"/>
        </w:rPr>
      </w:pPr>
    </w:p>
    <w:p w14:paraId="2C2D6507" w14:textId="77777777" w:rsidR="00D72842" w:rsidRDefault="00D72842" w:rsidP="00CE7CC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Estimating the proportion arising from this last category is </w:t>
      </w:r>
      <w:r w:rsidR="0082026D">
        <w:rPr>
          <w:rFonts w:ascii="Times New Roman" w:hAnsi="Times New Roman" w:cs="Times New Roman"/>
          <w:sz w:val="24"/>
          <w:szCs w:val="24"/>
          <w:lang w:val="en-US"/>
        </w:rPr>
        <w:t xml:space="preserve">difficult.  </w:t>
      </w:r>
      <w:r w:rsidR="00E650BC">
        <w:rPr>
          <w:rFonts w:ascii="Times New Roman" w:hAnsi="Times New Roman" w:cs="Times New Roman"/>
          <w:sz w:val="24"/>
          <w:szCs w:val="24"/>
          <w:lang w:val="en-US"/>
        </w:rPr>
        <w:t xml:space="preserve">Estimates </w:t>
      </w:r>
      <w:r>
        <w:rPr>
          <w:rFonts w:ascii="Times New Roman" w:hAnsi="Times New Roman" w:cs="Times New Roman"/>
          <w:sz w:val="24"/>
          <w:szCs w:val="24"/>
          <w:lang w:val="en-US"/>
        </w:rPr>
        <w:t xml:space="preserve">by the New Zealand Treasury coupled with analysis in Lally (2020, section 3.3) suggests that the fraction </w:t>
      </w:r>
      <w:r w:rsidR="00E650BC">
        <w:rPr>
          <w:rFonts w:ascii="Times New Roman" w:hAnsi="Times New Roman" w:cs="Times New Roman"/>
          <w:sz w:val="24"/>
          <w:szCs w:val="24"/>
          <w:lang w:val="en-US"/>
        </w:rPr>
        <w:t xml:space="preserve">was 29% for New Zealand.  </w:t>
      </w:r>
      <w:r w:rsidR="001205C9" w:rsidRPr="00CA6E45">
        <w:rPr>
          <w:rFonts w:ascii="Times New Roman" w:hAnsi="Times New Roman" w:cs="Times New Roman"/>
          <w:sz w:val="24"/>
          <w:szCs w:val="24"/>
          <w:lang w:val="en-US"/>
        </w:rPr>
        <w:t xml:space="preserve">Andersen et al (2020) examine the drop in consumer spending in the early stages of the pandemic (11 March to 5 April), relative </w:t>
      </w:r>
      <w:r w:rsidR="001205C9">
        <w:rPr>
          <w:rFonts w:ascii="Times New Roman" w:hAnsi="Times New Roman" w:cs="Times New Roman"/>
          <w:sz w:val="24"/>
          <w:szCs w:val="24"/>
          <w:lang w:val="en-US"/>
        </w:rPr>
        <w:t>to 2 January till 15 February</w:t>
      </w:r>
      <w:r w:rsidR="001205C9" w:rsidRPr="00CA6E45">
        <w:rPr>
          <w:rFonts w:ascii="Times New Roman" w:hAnsi="Times New Roman" w:cs="Times New Roman"/>
          <w:sz w:val="24"/>
          <w:szCs w:val="24"/>
          <w:lang w:val="en-US"/>
        </w:rPr>
        <w:t xml:space="preserve"> in both Denmark (which adopted a lockdown policy) and Sweden (which adopted a mitigation policy).  They find that the drop in Sweden was 86% of that in Denmark (25% drop versus 29% drop), implying that 14% of the drop in Denmark was due to a lockdown </w:t>
      </w:r>
      <w:r w:rsidR="001205C9" w:rsidRPr="00CA6E45">
        <w:rPr>
          <w:rFonts w:ascii="Times New Roman" w:hAnsi="Times New Roman" w:cs="Times New Roman"/>
          <w:sz w:val="24"/>
          <w:szCs w:val="24"/>
          <w:lang w:val="en-US"/>
        </w:rPr>
        <w:lastRenderedPageBreak/>
        <w:t>rather than a mitigation policy.  In a similar study (Goolsbee and Syverson, 2020) examine adjoining US counties with one area subject to lockdown and the other not; the drop in consumer activity in the latter area was 88% of the former, implying that o</w:t>
      </w:r>
      <w:r w:rsidR="001205C9">
        <w:rPr>
          <w:rFonts w:ascii="Times New Roman" w:hAnsi="Times New Roman" w:cs="Times New Roman"/>
          <w:sz w:val="24"/>
          <w:szCs w:val="24"/>
          <w:lang w:val="en-US"/>
        </w:rPr>
        <w:t xml:space="preserve">nly 12% was due to the lockdown.  </w:t>
      </w:r>
      <w:r w:rsidR="00E650BC">
        <w:rPr>
          <w:rFonts w:ascii="Times New Roman" w:hAnsi="Times New Roman" w:cs="Times New Roman"/>
          <w:sz w:val="24"/>
          <w:szCs w:val="24"/>
          <w:lang w:val="en-US"/>
        </w:rPr>
        <w:t xml:space="preserve">Aum et al (2020) estimate the effect of increased infections upon the unemployment rate in Korea (which did not lockdown), the US and UK (which did), and </w:t>
      </w:r>
      <w:r w:rsidR="00AB5A5A">
        <w:rPr>
          <w:rFonts w:ascii="Times New Roman" w:hAnsi="Times New Roman" w:cs="Times New Roman"/>
          <w:sz w:val="24"/>
          <w:szCs w:val="24"/>
          <w:lang w:val="en-US"/>
        </w:rPr>
        <w:t xml:space="preserve">conclude </w:t>
      </w:r>
      <w:r w:rsidR="00E650BC">
        <w:rPr>
          <w:rFonts w:ascii="Times New Roman" w:hAnsi="Times New Roman" w:cs="Times New Roman"/>
          <w:sz w:val="24"/>
          <w:szCs w:val="24"/>
          <w:lang w:val="en-US"/>
        </w:rPr>
        <w:t xml:space="preserve">that the effect is twice as great in the US and UK, leading to the conclusion that lockdowns explain half the loss of employment.  </w:t>
      </w:r>
      <w:r w:rsidR="00EA3B76">
        <w:rPr>
          <w:rFonts w:ascii="Times New Roman" w:hAnsi="Times New Roman" w:cs="Times New Roman"/>
          <w:sz w:val="24"/>
          <w:szCs w:val="24"/>
          <w:lang w:val="en-US"/>
        </w:rPr>
        <w:t xml:space="preserve">In a much broader study, the </w:t>
      </w:r>
      <w:r w:rsidR="002505E3">
        <w:rPr>
          <w:rFonts w:ascii="Times New Roman" w:hAnsi="Times New Roman" w:cs="Times New Roman"/>
          <w:sz w:val="24"/>
          <w:szCs w:val="24"/>
          <w:lang w:val="en-US"/>
        </w:rPr>
        <w:t xml:space="preserve">IMF (2020, Chapter 2) </w:t>
      </w:r>
      <w:r w:rsidR="00EA3B76">
        <w:rPr>
          <w:rFonts w:ascii="Times New Roman" w:hAnsi="Times New Roman" w:cs="Times New Roman"/>
          <w:sz w:val="24"/>
          <w:szCs w:val="24"/>
          <w:lang w:val="en-US"/>
        </w:rPr>
        <w:t xml:space="preserve">examined </w:t>
      </w:r>
      <w:r w:rsidR="002505E3">
        <w:rPr>
          <w:rFonts w:ascii="Times New Roman" w:hAnsi="Times New Roman" w:cs="Times New Roman"/>
          <w:sz w:val="24"/>
          <w:szCs w:val="24"/>
          <w:lang w:val="en-US"/>
        </w:rPr>
        <w:t>28 countries and concluded</w:t>
      </w:r>
      <w:r w:rsidR="00AB5A5A">
        <w:rPr>
          <w:rFonts w:ascii="Times New Roman" w:hAnsi="Times New Roman" w:cs="Times New Roman"/>
          <w:sz w:val="24"/>
          <w:szCs w:val="24"/>
          <w:lang w:val="en-US"/>
        </w:rPr>
        <w:t xml:space="preserve"> that lockdowns contribute</w:t>
      </w:r>
      <w:r w:rsidR="00D650BF">
        <w:rPr>
          <w:rFonts w:ascii="Times New Roman" w:hAnsi="Times New Roman" w:cs="Times New Roman"/>
          <w:sz w:val="24"/>
          <w:szCs w:val="24"/>
          <w:lang w:val="en-US"/>
        </w:rPr>
        <w:t>d</w:t>
      </w:r>
      <w:r w:rsidR="00AB5A5A">
        <w:rPr>
          <w:rFonts w:ascii="Times New Roman" w:hAnsi="Times New Roman" w:cs="Times New Roman"/>
          <w:sz w:val="24"/>
          <w:szCs w:val="24"/>
          <w:lang w:val="en-US"/>
        </w:rPr>
        <w:t xml:space="preserve"> 40% of the </w:t>
      </w:r>
      <w:r w:rsidR="00CD26B7">
        <w:rPr>
          <w:rFonts w:ascii="Times New Roman" w:hAnsi="Times New Roman" w:cs="Times New Roman"/>
          <w:sz w:val="24"/>
          <w:szCs w:val="24"/>
          <w:lang w:val="en-US"/>
        </w:rPr>
        <w:t xml:space="preserve">reduction in </w:t>
      </w:r>
      <w:r w:rsidR="003A28F5">
        <w:rPr>
          <w:rFonts w:ascii="Times New Roman" w:hAnsi="Times New Roman" w:cs="Times New Roman"/>
          <w:sz w:val="24"/>
          <w:szCs w:val="24"/>
          <w:lang w:val="en-US"/>
        </w:rPr>
        <w:t>‘Google Mobility Data’</w:t>
      </w:r>
      <w:r w:rsidR="00D650BF">
        <w:rPr>
          <w:rFonts w:ascii="Times New Roman" w:hAnsi="Times New Roman" w:cs="Times New Roman"/>
          <w:sz w:val="24"/>
          <w:szCs w:val="24"/>
          <w:lang w:val="en-US"/>
        </w:rPr>
        <w:t xml:space="preserve"> in advanced economies</w:t>
      </w:r>
      <w:r w:rsidR="00CD26B7">
        <w:rPr>
          <w:rFonts w:ascii="Times New Roman" w:hAnsi="Times New Roman" w:cs="Times New Roman"/>
          <w:sz w:val="24"/>
          <w:szCs w:val="24"/>
          <w:lang w:val="en-US"/>
        </w:rPr>
        <w:t xml:space="preserve">, which is a proxy for the GDP loss.  </w:t>
      </w:r>
      <w:r w:rsidR="00EA3B76">
        <w:rPr>
          <w:rFonts w:ascii="Times New Roman" w:hAnsi="Times New Roman" w:cs="Times New Roman"/>
          <w:sz w:val="24"/>
          <w:szCs w:val="24"/>
          <w:lang w:val="en-US"/>
        </w:rPr>
        <w:t xml:space="preserve">In an approach directly comparable with Table 2 above, </w:t>
      </w:r>
      <w:r w:rsidR="00D5029C">
        <w:rPr>
          <w:rFonts w:ascii="Times New Roman" w:hAnsi="Times New Roman" w:cs="Times New Roman"/>
          <w:sz w:val="24"/>
          <w:szCs w:val="24"/>
          <w:lang w:val="en-US"/>
        </w:rPr>
        <w:t>Pujol (2020, Table 1) presents estimates of the GDP losses for nine advanced economies that locked down</w:t>
      </w:r>
      <w:r w:rsidR="003034A7">
        <w:rPr>
          <w:rFonts w:ascii="Times New Roman" w:hAnsi="Times New Roman" w:cs="Times New Roman"/>
          <w:sz w:val="24"/>
          <w:szCs w:val="24"/>
          <w:lang w:val="en-US"/>
        </w:rPr>
        <w:t xml:space="preserve"> (US, Canada and seven Western European economies)</w:t>
      </w:r>
      <w:r w:rsidR="00D5029C">
        <w:rPr>
          <w:rFonts w:ascii="Times New Roman" w:hAnsi="Times New Roman" w:cs="Times New Roman"/>
          <w:sz w:val="24"/>
          <w:szCs w:val="24"/>
          <w:lang w:val="en-US"/>
        </w:rPr>
        <w:t>, and two that did not (Sweden and Japan); the median of t</w:t>
      </w:r>
      <w:r w:rsidR="003034A7">
        <w:rPr>
          <w:rFonts w:ascii="Times New Roman" w:hAnsi="Times New Roman" w:cs="Times New Roman"/>
          <w:sz w:val="24"/>
          <w:szCs w:val="24"/>
          <w:lang w:val="en-US"/>
        </w:rPr>
        <w:t>he first g</w:t>
      </w:r>
      <w:r w:rsidR="00D5029C">
        <w:rPr>
          <w:rFonts w:ascii="Times New Roman" w:hAnsi="Times New Roman" w:cs="Times New Roman"/>
          <w:sz w:val="24"/>
          <w:szCs w:val="24"/>
          <w:lang w:val="en-US"/>
        </w:rPr>
        <w:t xml:space="preserve">roup is 25% and that of the latter is 16%, </w:t>
      </w:r>
      <w:r w:rsidR="003034A7">
        <w:rPr>
          <w:rFonts w:ascii="Times New Roman" w:hAnsi="Times New Roman" w:cs="Times New Roman"/>
          <w:sz w:val="24"/>
          <w:szCs w:val="24"/>
          <w:lang w:val="en-US"/>
        </w:rPr>
        <w:t xml:space="preserve">which implies that 36% of the loss is due to lockdowns.  </w:t>
      </w:r>
      <w:r w:rsidR="00EA3B76">
        <w:rPr>
          <w:rFonts w:ascii="Times New Roman" w:hAnsi="Times New Roman" w:cs="Times New Roman"/>
          <w:sz w:val="24"/>
          <w:szCs w:val="24"/>
          <w:lang w:val="en-US"/>
        </w:rPr>
        <w:t>The best estimates here are the last two, because they each cover a wide range of countries.  I adopt the median estimate of 3</w:t>
      </w:r>
      <w:r w:rsidR="00CD26B7">
        <w:rPr>
          <w:rFonts w:ascii="Times New Roman" w:hAnsi="Times New Roman" w:cs="Times New Roman"/>
          <w:sz w:val="24"/>
          <w:szCs w:val="24"/>
          <w:lang w:val="en-US"/>
        </w:rPr>
        <w:t xml:space="preserve">9%.  </w:t>
      </w:r>
      <w:r w:rsidR="00E650BC">
        <w:rPr>
          <w:rFonts w:ascii="Times New Roman" w:hAnsi="Times New Roman" w:cs="Times New Roman"/>
          <w:sz w:val="24"/>
          <w:szCs w:val="24"/>
          <w:lang w:val="en-US"/>
        </w:rPr>
        <w:t xml:space="preserve">Applying </w:t>
      </w:r>
      <w:r w:rsidR="00CD26B7">
        <w:rPr>
          <w:rFonts w:ascii="Times New Roman" w:hAnsi="Times New Roman" w:cs="Times New Roman"/>
          <w:sz w:val="24"/>
          <w:szCs w:val="24"/>
          <w:lang w:val="en-US"/>
        </w:rPr>
        <w:t xml:space="preserve">it to </w:t>
      </w:r>
      <w:r w:rsidR="00E650BC">
        <w:rPr>
          <w:rFonts w:ascii="Times New Roman" w:hAnsi="Times New Roman" w:cs="Times New Roman"/>
          <w:sz w:val="24"/>
          <w:szCs w:val="24"/>
          <w:lang w:val="en-US"/>
        </w:rPr>
        <w:t xml:space="preserve">the Australian GDP loss of $415b yields a </w:t>
      </w:r>
      <w:r w:rsidR="00EA3B76">
        <w:rPr>
          <w:rFonts w:ascii="Times New Roman" w:hAnsi="Times New Roman" w:cs="Times New Roman"/>
          <w:sz w:val="24"/>
          <w:szCs w:val="24"/>
          <w:lang w:val="en-US"/>
        </w:rPr>
        <w:t>loss due to the lockdowns of $16</w:t>
      </w:r>
      <w:r w:rsidR="00E650BC">
        <w:rPr>
          <w:rFonts w:ascii="Times New Roman" w:hAnsi="Times New Roman" w:cs="Times New Roman"/>
          <w:sz w:val="24"/>
          <w:szCs w:val="24"/>
          <w:lang w:val="en-US"/>
        </w:rPr>
        <w:t xml:space="preserve">0b.  </w:t>
      </w:r>
    </w:p>
    <w:p w14:paraId="64897EF4" w14:textId="77777777" w:rsidR="00D72842" w:rsidRDefault="00D72842" w:rsidP="00CE7CC3">
      <w:pPr>
        <w:spacing w:after="0" w:line="360" w:lineRule="auto"/>
        <w:jc w:val="both"/>
        <w:rPr>
          <w:rFonts w:ascii="Times New Roman" w:hAnsi="Times New Roman" w:cs="Times New Roman"/>
          <w:sz w:val="24"/>
          <w:szCs w:val="24"/>
          <w:lang w:val="en-US"/>
        </w:rPr>
      </w:pPr>
    </w:p>
    <w:p w14:paraId="09D84670" w14:textId="77777777" w:rsidR="00D53583" w:rsidRDefault="00671834" w:rsidP="00CE7CC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Foster (2020) estimates the GDP loss at 0.5% for each month of</w:t>
      </w:r>
      <w:r w:rsidR="00B0106D">
        <w:rPr>
          <w:rFonts w:ascii="Times New Roman" w:hAnsi="Times New Roman" w:cs="Times New Roman"/>
          <w:sz w:val="24"/>
          <w:szCs w:val="24"/>
          <w:lang w:val="en-US"/>
        </w:rPr>
        <w:t xml:space="preserve"> lockdown, based upon </w:t>
      </w:r>
      <w:r w:rsidR="00AB13CF">
        <w:rPr>
          <w:rFonts w:ascii="Times New Roman" w:hAnsi="Times New Roman" w:cs="Times New Roman"/>
          <w:sz w:val="24"/>
          <w:szCs w:val="24"/>
          <w:lang w:val="en-US"/>
        </w:rPr>
        <w:t>the RBA</w:t>
      </w:r>
      <w:r w:rsidR="00482C7C">
        <w:rPr>
          <w:rFonts w:ascii="Times New Roman" w:hAnsi="Times New Roman" w:cs="Times New Roman"/>
          <w:sz w:val="24"/>
          <w:szCs w:val="24"/>
          <w:lang w:val="en-US"/>
        </w:rPr>
        <w:t>’s</w:t>
      </w:r>
      <w:r w:rsidR="00AB13CF">
        <w:rPr>
          <w:rFonts w:ascii="Times New Roman" w:hAnsi="Times New Roman" w:cs="Times New Roman"/>
          <w:sz w:val="24"/>
          <w:szCs w:val="24"/>
          <w:lang w:val="en-US"/>
        </w:rPr>
        <w:t xml:space="preserve"> </w:t>
      </w:r>
      <w:r w:rsidR="00482C7C">
        <w:rPr>
          <w:rFonts w:ascii="Times New Roman" w:hAnsi="Times New Roman" w:cs="Times New Roman"/>
          <w:sz w:val="24"/>
          <w:szCs w:val="24"/>
          <w:lang w:val="en-US"/>
        </w:rPr>
        <w:t>August 2020 forecast of a 6% decline in GDP in 2020</w:t>
      </w:r>
      <w:r w:rsidR="007348CB">
        <w:rPr>
          <w:rFonts w:ascii="Times New Roman" w:hAnsi="Times New Roman" w:cs="Times New Roman"/>
          <w:sz w:val="24"/>
          <w:szCs w:val="24"/>
          <w:lang w:val="en-US"/>
        </w:rPr>
        <w:t xml:space="preserve"> (RBA, 2020</w:t>
      </w:r>
      <w:r w:rsidR="00E90012">
        <w:rPr>
          <w:rFonts w:ascii="Times New Roman" w:hAnsi="Times New Roman" w:cs="Times New Roman"/>
          <w:sz w:val="24"/>
          <w:szCs w:val="24"/>
          <w:lang w:val="en-US"/>
        </w:rPr>
        <w:t>c</w:t>
      </w:r>
      <w:r w:rsidR="007348CB">
        <w:rPr>
          <w:rFonts w:ascii="Times New Roman" w:hAnsi="Times New Roman" w:cs="Times New Roman"/>
          <w:sz w:val="24"/>
          <w:szCs w:val="24"/>
          <w:lang w:val="en-US"/>
        </w:rPr>
        <w:t>, Table 6.1)</w:t>
      </w:r>
      <w:r w:rsidR="00E47972">
        <w:rPr>
          <w:rFonts w:ascii="Times New Roman" w:hAnsi="Times New Roman" w:cs="Times New Roman"/>
          <w:sz w:val="24"/>
          <w:szCs w:val="24"/>
          <w:lang w:val="en-US"/>
        </w:rPr>
        <w:t xml:space="preserve">, multiplies this by 38% (the share of government expenditure in GDP), and then attributes half of this to the lockdowns.  </w:t>
      </w:r>
      <w:r w:rsidR="004C2E18">
        <w:rPr>
          <w:rFonts w:ascii="Times New Roman" w:hAnsi="Times New Roman" w:cs="Times New Roman"/>
          <w:sz w:val="24"/>
          <w:szCs w:val="24"/>
          <w:lang w:val="en-US"/>
        </w:rPr>
        <w:t xml:space="preserve">In respect of </w:t>
      </w:r>
      <w:r w:rsidR="007348CB">
        <w:rPr>
          <w:rFonts w:ascii="Times New Roman" w:hAnsi="Times New Roman" w:cs="Times New Roman"/>
          <w:sz w:val="24"/>
          <w:szCs w:val="24"/>
          <w:lang w:val="en-US"/>
        </w:rPr>
        <w:t xml:space="preserve">Foster’s </w:t>
      </w:r>
      <w:r w:rsidR="004C2E18">
        <w:rPr>
          <w:rFonts w:ascii="Times New Roman" w:hAnsi="Times New Roman" w:cs="Times New Roman"/>
          <w:sz w:val="24"/>
          <w:szCs w:val="24"/>
          <w:lang w:val="en-US"/>
        </w:rPr>
        <w:t>first step, the RBA</w:t>
      </w:r>
      <w:r w:rsidR="00482C7C">
        <w:rPr>
          <w:rFonts w:ascii="Times New Roman" w:hAnsi="Times New Roman" w:cs="Times New Roman"/>
          <w:sz w:val="24"/>
          <w:szCs w:val="24"/>
          <w:lang w:val="en-US"/>
        </w:rPr>
        <w:t>’s</w:t>
      </w:r>
      <w:r w:rsidR="004C2E18">
        <w:rPr>
          <w:rFonts w:ascii="Times New Roman" w:hAnsi="Times New Roman" w:cs="Times New Roman"/>
          <w:sz w:val="24"/>
          <w:szCs w:val="24"/>
          <w:lang w:val="en-US"/>
        </w:rPr>
        <w:t xml:space="preserve"> (2020</w:t>
      </w:r>
      <w:r w:rsidR="00E90012">
        <w:rPr>
          <w:rFonts w:ascii="Times New Roman" w:hAnsi="Times New Roman" w:cs="Times New Roman"/>
          <w:sz w:val="24"/>
          <w:szCs w:val="24"/>
          <w:lang w:val="en-US"/>
        </w:rPr>
        <w:t>c</w:t>
      </w:r>
      <w:r w:rsidR="004D207B">
        <w:rPr>
          <w:rFonts w:ascii="Times New Roman" w:hAnsi="Times New Roman" w:cs="Times New Roman"/>
          <w:sz w:val="24"/>
          <w:szCs w:val="24"/>
          <w:lang w:val="en-US"/>
        </w:rPr>
        <w:t>, Table 6.1</w:t>
      </w:r>
      <w:r w:rsidR="004C2E18">
        <w:rPr>
          <w:rFonts w:ascii="Times New Roman" w:hAnsi="Times New Roman" w:cs="Times New Roman"/>
          <w:sz w:val="24"/>
          <w:szCs w:val="24"/>
          <w:lang w:val="en-US"/>
        </w:rPr>
        <w:t xml:space="preserve">) </w:t>
      </w:r>
      <w:r w:rsidR="00482C7C">
        <w:rPr>
          <w:rFonts w:ascii="Times New Roman" w:hAnsi="Times New Roman" w:cs="Times New Roman"/>
          <w:sz w:val="24"/>
          <w:szCs w:val="24"/>
          <w:lang w:val="en-US"/>
        </w:rPr>
        <w:t xml:space="preserve">full set of forecasts is -6% in 2020, </w:t>
      </w:r>
      <w:r w:rsidR="004D207B">
        <w:rPr>
          <w:rFonts w:ascii="Times New Roman" w:hAnsi="Times New Roman" w:cs="Times New Roman"/>
          <w:sz w:val="24"/>
          <w:szCs w:val="24"/>
          <w:lang w:val="en-US"/>
        </w:rPr>
        <w:t>5</w:t>
      </w:r>
      <w:r w:rsidR="004C2E18">
        <w:rPr>
          <w:rFonts w:ascii="Times New Roman" w:hAnsi="Times New Roman" w:cs="Times New Roman"/>
          <w:sz w:val="24"/>
          <w:szCs w:val="24"/>
          <w:lang w:val="en-US"/>
        </w:rPr>
        <w:t>% in 2021</w:t>
      </w:r>
      <w:r w:rsidR="004D207B">
        <w:rPr>
          <w:rFonts w:ascii="Times New Roman" w:hAnsi="Times New Roman" w:cs="Times New Roman"/>
          <w:sz w:val="24"/>
          <w:szCs w:val="24"/>
          <w:lang w:val="en-US"/>
        </w:rPr>
        <w:t xml:space="preserve"> and 4% in 2022</w:t>
      </w:r>
      <w:r w:rsidR="004C2E18">
        <w:rPr>
          <w:rFonts w:ascii="Times New Roman" w:hAnsi="Times New Roman" w:cs="Times New Roman"/>
          <w:sz w:val="24"/>
          <w:szCs w:val="24"/>
          <w:lang w:val="en-US"/>
        </w:rPr>
        <w:t xml:space="preserve">.  </w:t>
      </w:r>
      <w:r w:rsidR="00482C7C">
        <w:rPr>
          <w:rFonts w:ascii="Times New Roman" w:hAnsi="Times New Roman" w:cs="Times New Roman"/>
          <w:sz w:val="24"/>
          <w:szCs w:val="24"/>
          <w:lang w:val="en-US"/>
        </w:rPr>
        <w:t xml:space="preserve">In addition, the </w:t>
      </w:r>
      <w:r w:rsidR="00D35E1F">
        <w:rPr>
          <w:rFonts w:ascii="Times New Roman" w:hAnsi="Times New Roman" w:cs="Times New Roman"/>
          <w:sz w:val="24"/>
          <w:szCs w:val="24"/>
          <w:lang w:val="en-US"/>
        </w:rPr>
        <w:t>RBA’s November 2019 forecasts were 2.75% for 2020 and 3% for 2021</w:t>
      </w:r>
      <w:r w:rsidR="00482C7C">
        <w:rPr>
          <w:rFonts w:ascii="Times New Roman" w:hAnsi="Times New Roman" w:cs="Times New Roman"/>
          <w:sz w:val="24"/>
          <w:szCs w:val="24"/>
          <w:lang w:val="en-US"/>
        </w:rPr>
        <w:t xml:space="preserve"> (RBA, 2019, Table 5.1)</w:t>
      </w:r>
      <w:r w:rsidR="00D35E1F">
        <w:rPr>
          <w:rFonts w:ascii="Times New Roman" w:hAnsi="Times New Roman" w:cs="Times New Roman"/>
          <w:sz w:val="24"/>
          <w:szCs w:val="24"/>
          <w:lang w:val="en-US"/>
        </w:rPr>
        <w:t xml:space="preserve">, to which I add </w:t>
      </w:r>
      <w:r w:rsidR="00B45C17">
        <w:rPr>
          <w:rFonts w:ascii="Times New Roman" w:hAnsi="Times New Roman" w:cs="Times New Roman"/>
          <w:sz w:val="24"/>
          <w:szCs w:val="24"/>
          <w:lang w:val="en-US"/>
        </w:rPr>
        <w:t xml:space="preserve">an extrapolated </w:t>
      </w:r>
      <w:r w:rsidR="00D35E1F">
        <w:rPr>
          <w:rFonts w:ascii="Times New Roman" w:hAnsi="Times New Roman" w:cs="Times New Roman"/>
          <w:sz w:val="24"/>
          <w:szCs w:val="24"/>
          <w:lang w:val="en-US"/>
        </w:rPr>
        <w:t>forecast of 3% for 2022</w:t>
      </w:r>
      <w:r w:rsidR="00482C7C">
        <w:rPr>
          <w:rFonts w:ascii="Times New Roman" w:hAnsi="Times New Roman" w:cs="Times New Roman"/>
          <w:sz w:val="24"/>
          <w:szCs w:val="24"/>
          <w:lang w:val="en-US"/>
        </w:rPr>
        <w:t xml:space="preserve">.  The shortfall </w:t>
      </w:r>
      <w:r w:rsidR="00D35E1F">
        <w:rPr>
          <w:rFonts w:ascii="Times New Roman" w:hAnsi="Times New Roman" w:cs="Times New Roman"/>
          <w:sz w:val="24"/>
          <w:szCs w:val="24"/>
          <w:lang w:val="en-US"/>
        </w:rPr>
        <w:t xml:space="preserve">calculated in the same way as in Table 2 </w:t>
      </w:r>
      <w:r w:rsidR="00482C7C">
        <w:rPr>
          <w:rFonts w:ascii="Times New Roman" w:hAnsi="Times New Roman" w:cs="Times New Roman"/>
          <w:sz w:val="24"/>
          <w:szCs w:val="24"/>
          <w:lang w:val="en-US"/>
        </w:rPr>
        <w:t xml:space="preserve">then </w:t>
      </w:r>
      <w:r w:rsidR="00D35E1F">
        <w:rPr>
          <w:rFonts w:ascii="Times New Roman" w:hAnsi="Times New Roman" w:cs="Times New Roman"/>
          <w:sz w:val="24"/>
          <w:szCs w:val="24"/>
          <w:lang w:val="en-US"/>
        </w:rPr>
        <w:t>aggregate</w:t>
      </w:r>
      <w:r w:rsidR="00482C7C">
        <w:rPr>
          <w:rFonts w:ascii="Times New Roman" w:hAnsi="Times New Roman" w:cs="Times New Roman"/>
          <w:sz w:val="24"/>
          <w:szCs w:val="24"/>
          <w:lang w:val="en-US"/>
        </w:rPr>
        <w:t>s</w:t>
      </w:r>
      <w:r w:rsidR="00D35E1F">
        <w:rPr>
          <w:rFonts w:ascii="Times New Roman" w:hAnsi="Times New Roman" w:cs="Times New Roman"/>
          <w:sz w:val="24"/>
          <w:szCs w:val="24"/>
          <w:lang w:val="en-US"/>
        </w:rPr>
        <w:t xml:space="preserve"> to 22.2% of 2019 GDP.  This </w:t>
      </w:r>
      <w:r w:rsidR="00482C7C">
        <w:rPr>
          <w:rFonts w:ascii="Times New Roman" w:hAnsi="Times New Roman" w:cs="Times New Roman"/>
          <w:sz w:val="24"/>
          <w:szCs w:val="24"/>
          <w:lang w:val="en-US"/>
        </w:rPr>
        <w:t xml:space="preserve">is almost four times Foster’s figure of 6%.  </w:t>
      </w:r>
      <w:r w:rsidR="00521758">
        <w:rPr>
          <w:rFonts w:ascii="Times New Roman" w:hAnsi="Times New Roman" w:cs="Times New Roman"/>
          <w:sz w:val="24"/>
          <w:szCs w:val="24"/>
          <w:lang w:val="en-US"/>
        </w:rPr>
        <w:t xml:space="preserve">Foster’s </w:t>
      </w:r>
      <w:r w:rsidR="00E47972">
        <w:rPr>
          <w:rFonts w:ascii="Times New Roman" w:hAnsi="Times New Roman" w:cs="Times New Roman"/>
          <w:sz w:val="24"/>
          <w:szCs w:val="24"/>
          <w:lang w:val="en-US"/>
        </w:rPr>
        <w:t>second</w:t>
      </w:r>
      <w:r w:rsidR="00CC1E2D">
        <w:rPr>
          <w:rFonts w:ascii="Times New Roman" w:hAnsi="Times New Roman" w:cs="Times New Roman"/>
          <w:sz w:val="24"/>
          <w:szCs w:val="24"/>
          <w:lang w:val="en-US"/>
        </w:rPr>
        <w:t xml:space="preserve"> step is </w:t>
      </w:r>
      <w:r w:rsidR="00085777">
        <w:rPr>
          <w:rFonts w:ascii="Times New Roman" w:hAnsi="Times New Roman" w:cs="Times New Roman"/>
          <w:sz w:val="24"/>
          <w:szCs w:val="24"/>
          <w:lang w:val="en-US"/>
        </w:rPr>
        <w:t xml:space="preserve">very </w:t>
      </w:r>
      <w:r w:rsidR="00B0106D">
        <w:rPr>
          <w:rFonts w:ascii="Times New Roman" w:hAnsi="Times New Roman" w:cs="Times New Roman"/>
          <w:sz w:val="24"/>
          <w:szCs w:val="24"/>
          <w:lang w:val="en-US"/>
        </w:rPr>
        <w:t xml:space="preserve">conservative, as </w:t>
      </w:r>
      <w:r w:rsidR="001515D6">
        <w:rPr>
          <w:rFonts w:ascii="Times New Roman" w:hAnsi="Times New Roman" w:cs="Times New Roman"/>
          <w:sz w:val="24"/>
          <w:szCs w:val="24"/>
          <w:lang w:val="en-US"/>
        </w:rPr>
        <w:t xml:space="preserve">the </w:t>
      </w:r>
      <w:r w:rsidR="00482C7C">
        <w:rPr>
          <w:rFonts w:ascii="Times New Roman" w:hAnsi="Times New Roman" w:cs="Times New Roman"/>
          <w:sz w:val="24"/>
          <w:szCs w:val="24"/>
          <w:lang w:val="en-US"/>
        </w:rPr>
        <w:t xml:space="preserve">full </w:t>
      </w:r>
      <w:r w:rsidR="001515D6">
        <w:rPr>
          <w:rFonts w:ascii="Times New Roman" w:hAnsi="Times New Roman" w:cs="Times New Roman"/>
          <w:sz w:val="24"/>
          <w:szCs w:val="24"/>
          <w:lang w:val="en-US"/>
        </w:rPr>
        <w:t xml:space="preserve">welfare loss is the GDP loss rather than merely the government share of it.  In respect of </w:t>
      </w:r>
      <w:r w:rsidR="00521758">
        <w:rPr>
          <w:rFonts w:ascii="Times New Roman" w:hAnsi="Times New Roman" w:cs="Times New Roman"/>
          <w:sz w:val="24"/>
          <w:szCs w:val="24"/>
          <w:lang w:val="en-US"/>
        </w:rPr>
        <w:t xml:space="preserve">Foster’s </w:t>
      </w:r>
      <w:r w:rsidR="00CC1E2D">
        <w:rPr>
          <w:rFonts w:ascii="Times New Roman" w:hAnsi="Times New Roman" w:cs="Times New Roman"/>
          <w:sz w:val="24"/>
          <w:szCs w:val="24"/>
          <w:lang w:val="en-US"/>
        </w:rPr>
        <w:t>third step</w:t>
      </w:r>
      <w:r w:rsidR="001515D6">
        <w:rPr>
          <w:rFonts w:ascii="Times New Roman" w:hAnsi="Times New Roman" w:cs="Times New Roman"/>
          <w:sz w:val="24"/>
          <w:szCs w:val="24"/>
          <w:lang w:val="en-US"/>
        </w:rPr>
        <w:t xml:space="preserve">, </w:t>
      </w:r>
      <w:r w:rsidR="00D37616">
        <w:rPr>
          <w:rFonts w:ascii="Times New Roman" w:hAnsi="Times New Roman" w:cs="Times New Roman"/>
          <w:sz w:val="24"/>
          <w:szCs w:val="24"/>
          <w:lang w:val="en-US"/>
        </w:rPr>
        <w:t xml:space="preserve">analysis by Aum et al (2020) is offered in support.  </w:t>
      </w:r>
      <w:r w:rsidR="00CD26B7">
        <w:rPr>
          <w:rFonts w:ascii="Times New Roman" w:hAnsi="Times New Roman" w:cs="Times New Roman"/>
          <w:sz w:val="24"/>
          <w:szCs w:val="24"/>
          <w:lang w:val="en-US"/>
        </w:rPr>
        <w:t>This is the highest of the estimates I have cited above.</w:t>
      </w:r>
    </w:p>
    <w:p w14:paraId="4912EA76" w14:textId="77777777" w:rsidR="00CD26B7" w:rsidRDefault="00CD26B7" w:rsidP="00CE7CC3">
      <w:pPr>
        <w:spacing w:after="0" w:line="360" w:lineRule="auto"/>
        <w:jc w:val="both"/>
        <w:rPr>
          <w:rFonts w:ascii="Times New Roman" w:hAnsi="Times New Roman" w:cs="Times New Roman"/>
          <w:sz w:val="24"/>
          <w:szCs w:val="24"/>
          <w:lang w:val="en-US"/>
        </w:rPr>
      </w:pPr>
    </w:p>
    <w:p w14:paraId="75B99E69" w14:textId="77777777" w:rsidR="00D53583" w:rsidRDefault="001515D6" w:rsidP="00CE7CC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Holden and </w:t>
      </w:r>
      <w:r w:rsidR="00D53583">
        <w:rPr>
          <w:rFonts w:ascii="Times New Roman" w:hAnsi="Times New Roman" w:cs="Times New Roman"/>
          <w:sz w:val="24"/>
          <w:szCs w:val="24"/>
          <w:lang w:val="en-US"/>
        </w:rPr>
        <w:t>Preston (2020) estimate the GDP loss at 10% of one year’s GDP</w:t>
      </w:r>
      <w:r w:rsidR="00617FAF">
        <w:rPr>
          <w:rFonts w:ascii="Times New Roman" w:hAnsi="Times New Roman" w:cs="Times New Roman"/>
          <w:sz w:val="24"/>
          <w:szCs w:val="24"/>
          <w:lang w:val="en-US"/>
        </w:rPr>
        <w:t xml:space="preserve"> </w:t>
      </w:r>
      <w:proofErr w:type="gramStart"/>
      <w:r w:rsidR="00617FAF">
        <w:rPr>
          <w:rFonts w:ascii="Times New Roman" w:hAnsi="Times New Roman" w:cs="Times New Roman"/>
          <w:sz w:val="24"/>
          <w:szCs w:val="24"/>
          <w:lang w:val="en-US"/>
        </w:rPr>
        <w:t>“..</w:t>
      </w:r>
      <w:proofErr w:type="gramEnd"/>
      <w:r w:rsidR="00617FAF">
        <w:rPr>
          <w:rFonts w:ascii="Times New Roman" w:hAnsi="Times New Roman" w:cs="Times New Roman"/>
          <w:sz w:val="24"/>
          <w:szCs w:val="24"/>
          <w:lang w:val="en-US"/>
        </w:rPr>
        <w:t>consistent with IMF forecasts of a fall in GDP of 6.7% in 2020 and a sharp rebound of 6.1% growth in 2021.”</w:t>
      </w:r>
      <w:r w:rsidR="00D53583">
        <w:rPr>
          <w:rFonts w:ascii="Times New Roman" w:hAnsi="Times New Roman" w:cs="Times New Roman"/>
          <w:sz w:val="24"/>
          <w:szCs w:val="24"/>
          <w:lang w:val="en-US"/>
        </w:rPr>
        <w:t xml:space="preserve"> </w:t>
      </w:r>
      <w:r w:rsidR="00162111">
        <w:rPr>
          <w:rFonts w:ascii="Times New Roman" w:hAnsi="Times New Roman" w:cs="Times New Roman"/>
          <w:sz w:val="24"/>
          <w:szCs w:val="24"/>
          <w:lang w:val="en-US"/>
        </w:rPr>
        <w:t xml:space="preserve"> </w:t>
      </w:r>
      <w:r w:rsidR="0041225B">
        <w:rPr>
          <w:rFonts w:ascii="Times New Roman" w:hAnsi="Times New Roman" w:cs="Times New Roman"/>
          <w:sz w:val="24"/>
          <w:szCs w:val="24"/>
          <w:lang w:val="en-US"/>
        </w:rPr>
        <w:t xml:space="preserve">They attribute up to half of this to </w:t>
      </w:r>
      <w:r w:rsidR="00291FE9">
        <w:rPr>
          <w:rFonts w:ascii="Times New Roman" w:hAnsi="Times New Roman" w:cs="Times New Roman"/>
          <w:sz w:val="24"/>
          <w:szCs w:val="24"/>
          <w:lang w:val="en-US"/>
        </w:rPr>
        <w:t>lockdowns, based upon the</w:t>
      </w:r>
      <w:r w:rsidR="0041225B">
        <w:rPr>
          <w:rFonts w:ascii="Times New Roman" w:hAnsi="Times New Roman" w:cs="Times New Roman"/>
          <w:sz w:val="24"/>
          <w:szCs w:val="24"/>
          <w:lang w:val="en-US"/>
        </w:rPr>
        <w:t xml:space="preserve"> study by A</w:t>
      </w:r>
      <w:r w:rsidR="006F6671">
        <w:rPr>
          <w:rFonts w:ascii="Times New Roman" w:hAnsi="Times New Roman" w:cs="Times New Roman"/>
          <w:sz w:val="24"/>
          <w:szCs w:val="24"/>
          <w:lang w:val="en-US"/>
        </w:rPr>
        <w:t>nderse</w:t>
      </w:r>
      <w:r w:rsidR="0041225B">
        <w:rPr>
          <w:rFonts w:ascii="Times New Roman" w:hAnsi="Times New Roman" w:cs="Times New Roman"/>
          <w:sz w:val="24"/>
          <w:szCs w:val="24"/>
          <w:lang w:val="en-US"/>
        </w:rPr>
        <w:t xml:space="preserve">n et al (2020).  </w:t>
      </w:r>
      <w:r w:rsidR="00162111">
        <w:rPr>
          <w:rFonts w:ascii="Times New Roman" w:hAnsi="Times New Roman" w:cs="Times New Roman"/>
          <w:sz w:val="24"/>
          <w:szCs w:val="24"/>
          <w:lang w:val="en-US"/>
        </w:rPr>
        <w:t xml:space="preserve">It is not apparent how these </w:t>
      </w:r>
      <w:r w:rsidR="00681B25">
        <w:rPr>
          <w:rFonts w:ascii="Times New Roman" w:hAnsi="Times New Roman" w:cs="Times New Roman"/>
          <w:sz w:val="24"/>
          <w:szCs w:val="24"/>
          <w:lang w:val="en-US"/>
        </w:rPr>
        <w:t xml:space="preserve">IMF </w:t>
      </w:r>
      <w:r>
        <w:rPr>
          <w:rFonts w:ascii="Times New Roman" w:hAnsi="Times New Roman" w:cs="Times New Roman"/>
          <w:sz w:val="24"/>
          <w:szCs w:val="24"/>
          <w:lang w:val="en-US"/>
        </w:rPr>
        <w:t xml:space="preserve">forecasts give rise to a loss of 10% but, in any </w:t>
      </w:r>
      <w:r>
        <w:rPr>
          <w:rFonts w:ascii="Times New Roman" w:hAnsi="Times New Roman" w:cs="Times New Roman"/>
          <w:sz w:val="24"/>
          <w:szCs w:val="24"/>
          <w:lang w:val="en-US"/>
        </w:rPr>
        <w:lastRenderedPageBreak/>
        <w:t xml:space="preserve">event, the loss </w:t>
      </w:r>
      <w:r w:rsidR="00482C7C">
        <w:rPr>
          <w:rFonts w:ascii="Times New Roman" w:hAnsi="Times New Roman" w:cs="Times New Roman"/>
          <w:sz w:val="24"/>
          <w:szCs w:val="24"/>
          <w:lang w:val="en-US"/>
        </w:rPr>
        <w:t xml:space="preserve">is the entire </w:t>
      </w:r>
      <w:r>
        <w:rPr>
          <w:rFonts w:ascii="Times New Roman" w:hAnsi="Times New Roman" w:cs="Times New Roman"/>
          <w:sz w:val="24"/>
          <w:szCs w:val="24"/>
          <w:lang w:val="en-US"/>
        </w:rPr>
        <w:t xml:space="preserve">shortfall between the GDP forecasts immediately preceding the pandemic </w:t>
      </w:r>
      <w:r w:rsidR="0045412B">
        <w:rPr>
          <w:rFonts w:ascii="Times New Roman" w:hAnsi="Times New Roman" w:cs="Times New Roman"/>
          <w:sz w:val="24"/>
          <w:szCs w:val="24"/>
          <w:lang w:val="en-US"/>
        </w:rPr>
        <w:t xml:space="preserve">and </w:t>
      </w:r>
      <w:r>
        <w:rPr>
          <w:rFonts w:ascii="Times New Roman" w:hAnsi="Times New Roman" w:cs="Times New Roman"/>
          <w:sz w:val="24"/>
          <w:szCs w:val="24"/>
          <w:lang w:val="en-US"/>
        </w:rPr>
        <w:t>subsequent forecasts</w:t>
      </w:r>
      <w:r w:rsidR="00CE009D">
        <w:rPr>
          <w:rFonts w:ascii="Times New Roman" w:hAnsi="Times New Roman" w:cs="Times New Roman"/>
          <w:sz w:val="24"/>
          <w:szCs w:val="24"/>
          <w:lang w:val="en-US"/>
        </w:rPr>
        <w:t xml:space="preserve"> (as in Table 2)</w:t>
      </w:r>
      <w:r w:rsidR="00681B25">
        <w:rPr>
          <w:rFonts w:ascii="Times New Roman" w:hAnsi="Times New Roman" w:cs="Times New Roman"/>
          <w:sz w:val="24"/>
          <w:szCs w:val="24"/>
          <w:lang w:val="en-US"/>
        </w:rPr>
        <w:t xml:space="preserve">.  </w:t>
      </w:r>
    </w:p>
    <w:p w14:paraId="6CFF1169" w14:textId="77777777" w:rsidR="00FF34ED" w:rsidRDefault="00FF34ED" w:rsidP="00CE7CC3">
      <w:pPr>
        <w:spacing w:after="0" w:line="360" w:lineRule="auto"/>
        <w:jc w:val="both"/>
        <w:rPr>
          <w:rFonts w:ascii="Times New Roman" w:hAnsi="Times New Roman" w:cs="Times New Roman"/>
          <w:sz w:val="24"/>
          <w:szCs w:val="24"/>
          <w:lang w:val="en-US"/>
        </w:rPr>
      </w:pPr>
    </w:p>
    <w:p w14:paraId="104BDF4F" w14:textId="77777777" w:rsidR="00FF34ED" w:rsidRDefault="00FF34ED" w:rsidP="00CE7CC3">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Kompas</w:t>
      </w:r>
      <w:proofErr w:type="spellEnd"/>
      <w:r>
        <w:rPr>
          <w:rFonts w:ascii="Times New Roman" w:hAnsi="Times New Roman" w:cs="Times New Roman"/>
          <w:sz w:val="24"/>
          <w:szCs w:val="24"/>
          <w:lang w:val="en-US"/>
        </w:rPr>
        <w:t xml:space="preserve"> et al (2020</w:t>
      </w:r>
      <w:r w:rsidR="00622197">
        <w:rPr>
          <w:rFonts w:ascii="Times New Roman" w:hAnsi="Times New Roman" w:cs="Times New Roman"/>
          <w:sz w:val="24"/>
          <w:szCs w:val="24"/>
          <w:lang w:val="en-US"/>
        </w:rPr>
        <w:t>, pp. 11-14</w:t>
      </w:r>
      <w:r>
        <w:rPr>
          <w:rFonts w:ascii="Times New Roman" w:hAnsi="Times New Roman" w:cs="Times New Roman"/>
          <w:sz w:val="24"/>
          <w:szCs w:val="24"/>
          <w:lang w:val="en-US"/>
        </w:rPr>
        <w:t xml:space="preserve">) estimate the GDP losses at $928m per day of lockdown, scale this </w:t>
      </w:r>
      <w:r w:rsidR="000F38F7">
        <w:rPr>
          <w:rFonts w:ascii="Times New Roman" w:hAnsi="Times New Roman" w:cs="Times New Roman"/>
          <w:sz w:val="24"/>
          <w:szCs w:val="24"/>
          <w:lang w:val="en-US"/>
        </w:rPr>
        <w:t xml:space="preserve">up </w:t>
      </w:r>
      <w:r>
        <w:rPr>
          <w:rFonts w:ascii="Times New Roman" w:hAnsi="Times New Roman" w:cs="Times New Roman"/>
          <w:sz w:val="24"/>
          <w:szCs w:val="24"/>
          <w:lang w:val="en-US"/>
        </w:rPr>
        <w:t>for 8 weeks of lockdown (56 days)</w:t>
      </w:r>
      <w:r w:rsidR="003B4272">
        <w:rPr>
          <w:rFonts w:ascii="Times New Roman" w:hAnsi="Times New Roman" w:cs="Times New Roman"/>
          <w:sz w:val="24"/>
          <w:szCs w:val="24"/>
          <w:lang w:val="en-US"/>
        </w:rPr>
        <w:t xml:space="preserve"> to yield $52b</w:t>
      </w:r>
      <w:r>
        <w:rPr>
          <w:rFonts w:ascii="Times New Roman" w:hAnsi="Times New Roman" w:cs="Times New Roman"/>
          <w:sz w:val="24"/>
          <w:szCs w:val="24"/>
          <w:lang w:val="en-US"/>
        </w:rPr>
        <w:t>, and then allow up to four months for transition back to “normal”</w:t>
      </w:r>
      <w:r w:rsidR="00847890">
        <w:rPr>
          <w:rFonts w:ascii="Times New Roman" w:hAnsi="Times New Roman" w:cs="Times New Roman"/>
          <w:sz w:val="24"/>
          <w:szCs w:val="24"/>
          <w:lang w:val="en-US"/>
        </w:rPr>
        <w:t xml:space="preserve"> yielding a </w:t>
      </w:r>
      <w:r>
        <w:rPr>
          <w:rFonts w:ascii="Times New Roman" w:hAnsi="Times New Roman" w:cs="Times New Roman"/>
          <w:sz w:val="24"/>
          <w:szCs w:val="24"/>
          <w:lang w:val="en-US"/>
        </w:rPr>
        <w:t xml:space="preserve">GDP loss of up to $120b.  However, their transition path is </w:t>
      </w:r>
      <w:r w:rsidR="0020134E">
        <w:rPr>
          <w:rFonts w:ascii="Times New Roman" w:hAnsi="Times New Roman" w:cs="Times New Roman"/>
          <w:sz w:val="24"/>
          <w:szCs w:val="24"/>
          <w:lang w:val="en-US"/>
        </w:rPr>
        <w:t>speculative</w:t>
      </w:r>
      <w:r w:rsidR="003B4272">
        <w:rPr>
          <w:rFonts w:ascii="Times New Roman" w:hAnsi="Times New Roman" w:cs="Times New Roman"/>
          <w:sz w:val="24"/>
          <w:szCs w:val="24"/>
          <w:lang w:val="en-US"/>
        </w:rPr>
        <w:t xml:space="preserve">, and use of </w:t>
      </w:r>
      <w:r w:rsidR="00847890">
        <w:rPr>
          <w:rFonts w:ascii="Times New Roman" w:hAnsi="Times New Roman" w:cs="Times New Roman"/>
          <w:sz w:val="24"/>
          <w:szCs w:val="24"/>
          <w:lang w:val="en-US"/>
        </w:rPr>
        <w:t xml:space="preserve">the Australian </w:t>
      </w:r>
      <w:r w:rsidR="00576349">
        <w:rPr>
          <w:rFonts w:ascii="Times New Roman" w:hAnsi="Times New Roman" w:cs="Times New Roman"/>
          <w:sz w:val="24"/>
          <w:szCs w:val="24"/>
          <w:lang w:val="en-US"/>
        </w:rPr>
        <w:t xml:space="preserve">Treasury’s </w:t>
      </w:r>
      <w:r w:rsidR="003B4272">
        <w:rPr>
          <w:rFonts w:ascii="Times New Roman" w:hAnsi="Times New Roman" w:cs="Times New Roman"/>
          <w:sz w:val="24"/>
          <w:szCs w:val="24"/>
          <w:lang w:val="en-US"/>
        </w:rPr>
        <w:t>transition path leads to a GDP loss of $415b rather than $120b</w:t>
      </w:r>
      <w:r w:rsidR="00473C95">
        <w:rPr>
          <w:rFonts w:ascii="Times New Roman" w:hAnsi="Times New Roman" w:cs="Times New Roman"/>
          <w:sz w:val="24"/>
          <w:szCs w:val="24"/>
          <w:lang w:val="en-US"/>
        </w:rPr>
        <w:t xml:space="preserve"> (see Table 2 above)</w:t>
      </w:r>
      <w:r w:rsidR="003B4272">
        <w:rPr>
          <w:rFonts w:ascii="Times New Roman" w:hAnsi="Times New Roman" w:cs="Times New Roman"/>
          <w:sz w:val="24"/>
          <w:szCs w:val="24"/>
          <w:lang w:val="en-US"/>
        </w:rPr>
        <w:t xml:space="preserve">.  </w:t>
      </w:r>
      <w:r w:rsidR="00847890">
        <w:rPr>
          <w:rFonts w:ascii="Times New Roman" w:hAnsi="Times New Roman" w:cs="Times New Roman"/>
          <w:sz w:val="24"/>
          <w:szCs w:val="24"/>
          <w:lang w:val="en-US"/>
        </w:rPr>
        <w:t xml:space="preserve">Furthermore </w:t>
      </w:r>
      <w:proofErr w:type="spellStart"/>
      <w:r w:rsidR="003B4272">
        <w:rPr>
          <w:rFonts w:ascii="Times New Roman" w:hAnsi="Times New Roman" w:cs="Times New Roman"/>
          <w:sz w:val="24"/>
          <w:szCs w:val="24"/>
          <w:lang w:val="en-US"/>
        </w:rPr>
        <w:t>Kompas</w:t>
      </w:r>
      <w:proofErr w:type="spellEnd"/>
      <w:r w:rsidR="003B4272">
        <w:rPr>
          <w:rFonts w:ascii="Times New Roman" w:hAnsi="Times New Roman" w:cs="Times New Roman"/>
          <w:sz w:val="24"/>
          <w:szCs w:val="24"/>
          <w:lang w:val="en-US"/>
        </w:rPr>
        <w:t xml:space="preserve"> et al (2020) fail to then ascribe only a fraction of their GDP</w:t>
      </w:r>
      <w:r w:rsidR="00576349">
        <w:rPr>
          <w:rFonts w:ascii="Times New Roman" w:hAnsi="Times New Roman" w:cs="Times New Roman"/>
          <w:sz w:val="24"/>
          <w:szCs w:val="24"/>
          <w:lang w:val="en-US"/>
        </w:rPr>
        <w:t xml:space="preserve"> los</w:t>
      </w:r>
      <w:r w:rsidR="003B4272">
        <w:rPr>
          <w:rFonts w:ascii="Times New Roman" w:hAnsi="Times New Roman" w:cs="Times New Roman"/>
          <w:sz w:val="24"/>
          <w:szCs w:val="24"/>
          <w:lang w:val="en-US"/>
        </w:rPr>
        <w:t>s</w:t>
      </w:r>
      <w:r w:rsidR="00576349">
        <w:rPr>
          <w:rFonts w:ascii="Times New Roman" w:hAnsi="Times New Roman" w:cs="Times New Roman"/>
          <w:sz w:val="24"/>
          <w:szCs w:val="24"/>
          <w:lang w:val="en-US"/>
        </w:rPr>
        <w:t xml:space="preserve">es </w:t>
      </w:r>
      <w:r w:rsidR="003B4272">
        <w:rPr>
          <w:rFonts w:ascii="Times New Roman" w:hAnsi="Times New Roman" w:cs="Times New Roman"/>
          <w:sz w:val="24"/>
          <w:szCs w:val="24"/>
          <w:lang w:val="en-US"/>
        </w:rPr>
        <w:t xml:space="preserve">of $120b </w:t>
      </w:r>
      <w:r w:rsidR="00576349">
        <w:rPr>
          <w:rFonts w:ascii="Times New Roman" w:hAnsi="Times New Roman" w:cs="Times New Roman"/>
          <w:sz w:val="24"/>
          <w:szCs w:val="24"/>
          <w:lang w:val="en-US"/>
        </w:rPr>
        <w:t xml:space="preserve">to </w:t>
      </w:r>
      <w:r w:rsidR="00CE009D">
        <w:rPr>
          <w:rFonts w:ascii="Times New Roman" w:hAnsi="Times New Roman" w:cs="Times New Roman"/>
          <w:sz w:val="24"/>
          <w:szCs w:val="24"/>
          <w:lang w:val="en-US"/>
        </w:rPr>
        <w:t>lockdowns</w:t>
      </w:r>
      <w:r w:rsidR="002D0297">
        <w:rPr>
          <w:rFonts w:ascii="Times New Roman" w:hAnsi="Times New Roman" w:cs="Times New Roman"/>
          <w:sz w:val="24"/>
          <w:szCs w:val="24"/>
          <w:lang w:val="en-US"/>
        </w:rPr>
        <w:t xml:space="preserve">.  </w:t>
      </w:r>
    </w:p>
    <w:p w14:paraId="49C29E68" w14:textId="77777777" w:rsidR="008702F9" w:rsidRDefault="008702F9" w:rsidP="008702F9">
      <w:pPr>
        <w:spacing w:after="0" w:line="360" w:lineRule="auto"/>
        <w:jc w:val="both"/>
        <w:rPr>
          <w:rFonts w:ascii="Times New Roman" w:hAnsi="Times New Roman" w:cs="Times New Roman"/>
          <w:sz w:val="24"/>
          <w:szCs w:val="24"/>
          <w:lang w:val="en-US"/>
        </w:rPr>
      </w:pPr>
    </w:p>
    <w:p w14:paraId="4A43EB46" w14:textId="77777777" w:rsidR="008702F9" w:rsidRPr="00D144F1" w:rsidRDefault="00C83148" w:rsidP="008702F9">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2.4</w:t>
      </w:r>
      <w:r w:rsidR="008702F9">
        <w:rPr>
          <w:rFonts w:ascii="Times New Roman" w:hAnsi="Times New Roman" w:cs="Times New Roman"/>
          <w:i/>
          <w:sz w:val="24"/>
          <w:szCs w:val="24"/>
          <w:lang w:val="en-US"/>
        </w:rPr>
        <w:t xml:space="preserve"> Cost per QALY Saved</w:t>
      </w:r>
    </w:p>
    <w:p w14:paraId="2AA5C10F"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summary, the QALYs saved by locking down rather than miti</w:t>
      </w:r>
      <w:r w:rsidR="00214EB0">
        <w:rPr>
          <w:rFonts w:ascii="Times New Roman" w:hAnsi="Times New Roman" w:cs="Times New Roman"/>
          <w:sz w:val="24"/>
          <w:szCs w:val="24"/>
          <w:lang w:val="en-US"/>
        </w:rPr>
        <w:t>gating are estimated at up to 68</w:t>
      </w:r>
      <w:r>
        <w:rPr>
          <w:rFonts w:ascii="Times New Roman" w:hAnsi="Times New Roman" w:cs="Times New Roman"/>
          <w:sz w:val="24"/>
          <w:szCs w:val="24"/>
          <w:lang w:val="en-US"/>
        </w:rPr>
        <w:t>,000</w:t>
      </w:r>
      <w:r w:rsidRPr="00C54848">
        <w:rPr>
          <w:rFonts w:ascii="Times New Roman" w:hAnsi="Times New Roman" w:cs="Times New Roman"/>
          <w:i/>
          <w:sz w:val="24"/>
          <w:szCs w:val="24"/>
          <w:lang w:val="en-US"/>
        </w:rPr>
        <w:t>N</w:t>
      </w:r>
      <w:r>
        <w:rPr>
          <w:rFonts w:ascii="Times New Roman" w:hAnsi="Times New Roman" w:cs="Times New Roman"/>
          <w:sz w:val="24"/>
          <w:szCs w:val="24"/>
          <w:lang w:val="en-US"/>
        </w:rPr>
        <w:t xml:space="preserve"> whilst the associated GDP losses </w:t>
      </w:r>
      <w:r w:rsidR="002D0297">
        <w:rPr>
          <w:rFonts w:ascii="Times New Roman" w:hAnsi="Times New Roman" w:cs="Times New Roman"/>
          <w:sz w:val="24"/>
          <w:szCs w:val="24"/>
          <w:lang w:val="en-US"/>
        </w:rPr>
        <w:t>are expected to be at least $16</w:t>
      </w:r>
      <w:r w:rsidR="004A3DD2">
        <w:rPr>
          <w:rFonts w:ascii="Times New Roman" w:hAnsi="Times New Roman" w:cs="Times New Roman"/>
          <w:sz w:val="24"/>
          <w:szCs w:val="24"/>
          <w:lang w:val="en-US"/>
        </w:rPr>
        <w:t>0</w:t>
      </w:r>
      <w:r>
        <w:rPr>
          <w:rFonts w:ascii="Times New Roman" w:hAnsi="Times New Roman" w:cs="Times New Roman"/>
          <w:sz w:val="24"/>
          <w:szCs w:val="24"/>
          <w:lang w:val="en-US"/>
        </w:rPr>
        <w:t>b.  If these GDP losses were the only cost of lockdowns, the cost per QALY saved would then be as follows:</w:t>
      </w:r>
    </w:p>
    <w:p w14:paraId="33EC341E" w14:textId="77777777" w:rsidR="008702F9" w:rsidRDefault="008702F9" w:rsidP="008702F9">
      <w:pPr>
        <w:spacing w:after="0" w:line="360" w:lineRule="auto"/>
        <w:jc w:val="both"/>
        <w:rPr>
          <w:rFonts w:ascii="Times New Roman" w:hAnsi="Times New Roman" w:cs="Times New Roman"/>
          <w:sz w:val="24"/>
          <w:szCs w:val="24"/>
          <w:lang w:val="en-US"/>
        </w:rPr>
      </w:pPr>
    </w:p>
    <w:p w14:paraId="07982A4F" w14:textId="77777777" w:rsidR="008702F9" w:rsidRDefault="008702F9"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 </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m:t>
              </m:r>
            </m:num>
            <m:den>
              <m:r>
                <w:rPr>
                  <w:rFonts w:ascii="Cambria Math" w:hAnsi="Cambria Math" w:cs="Times New Roman"/>
                  <w:sz w:val="24"/>
                  <w:szCs w:val="24"/>
                  <w:lang w:val="en-US"/>
                </w:rPr>
                <m:t>68,000N</m:t>
              </m:r>
            </m:den>
          </m:f>
          <m:r>
            <w:rPr>
              <w:rFonts w:ascii="Cambria Math" w:hAnsi="Cambria Math" w:cs="Times New Roman"/>
              <w:sz w:val="24"/>
              <w:szCs w:val="24"/>
              <w:lang w:val="en-US"/>
            </w:rPr>
            <m:t xml:space="preserve">                                                              (5) </m:t>
          </m:r>
        </m:oMath>
      </m:oMathPara>
    </w:p>
    <w:p w14:paraId="739BD025" w14:textId="77777777" w:rsidR="008702F9" w:rsidRDefault="008702F9" w:rsidP="008702F9">
      <w:pPr>
        <w:spacing w:after="0" w:line="360" w:lineRule="auto"/>
        <w:jc w:val="center"/>
        <w:rPr>
          <w:rFonts w:ascii="Times New Roman" w:hAnsi="Times New Roman" w:cs="Times New Roman"/>
          <w:sz w:val="24"/>
          <w:szCs w:val="24"/>
          <w:lang w:val="en-US"/>
        </w:rPr>
      </w:pPr>
    </w:p>
    <w:p w14:paraId="3B8D052A"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I now </w:t>
      </w:r>
      <w:r>
        <w:rPr>
          <w:rFonts w:ascii="Times New Roman" w:hAnsi="Times New Roman" w:cs="Times New Roman"/>
          <w:sz w:val="24"/>
          <w:szCs w:val="24"/>
          <w:lang w:val="en-US"/>
        </w:rPr>
        <w:t>attempt to quantify all of the additional co</w:t>
      </w:r>
      <w:r w:rsidR="00C83148">
        <w:rPr>
          <w:rFonts w:ascii="Times New Roman" w:hAnsi="Times New Roman" w:cs="Times New Roman"/>
          <w:sz w:val="24"/>
          <w:szCs w:val="24"/>
          <w:lang w:val="en-US"/>
        </w:rPr>
        <w:t>sts of mitigation</w:t>
      </w:r>
      <w:r w:rsidR="00A1400C">
        <w:rPr>
          <w:rFonts w:ascii="Times New Roman" w:hAnsi="Times New Roman" w:cs="Times New Roman"/>
          <w:sz w:val="24"/>
          <w:szCs w:val="24"/>
          <w:lang w:val="en-US"/>
        </w:rPr>
        <w:t xml:space="preserve">.  </w:t>
      </w:r>
      <w:r>
        <w:rPr>
          <w:rFonts w:ascii="Times New Roman" w:hAnsi="Times New Roman" w:cs="Times New Roman"/>
          <w:sz w:val="24"/>
          <w:szCs w:val="24"/>
          <w:lang w:val="en-US"/>
        </w:rPr>
        <w:t>Firstly, there are the medical costs of those requiring short-term hospitalization under a mitigation policy.  Gros (2020, section 2.2) assumes that the entire population of a country becomes infected, and estimates that 20% would require general hospital care at a cost per patient equal to 30% of GDP per capita, and ¼ of these would also require Intensive Care treatment at a further cost per patient of 60% of per capita GDP, yielding a total cost equal to 9% of GDP.  However the assumption that everyone in a population would become infected is excessive.  Blakely and Wilson (2020) estimate that the infection rate would not exceed 60% because the epidemic would by then peter out through herd immunity, Boyd (2020, page 3) adopts a base case of 40% based upon the experience from past pandemics, and Aguas et al (2020) estimate it to be even lower.</w:t>
      </w:r>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Furthermore, even if Gros’s estimates of the proportion infected requiring medical care were correct, this would (even at a 40% infection rate) imply </w:t>
      </w:r>
      <w:r w:rsidR="001C23DC">
        <w:rPr>
          <w:rFonts w:ascii="Times New Roman" w:hAnsi="Times New Roman" w:cs="Times New Roman"/>
          <w:sz w:val="24"/>
          <w:szCs w:val="24"/>
          <w:lang w:val="en-US"/>
        </w:rPr>
        <w:t>2m</w:t>
      </w:r>
      <w:r>
        <w:rPr>
          <w:rFonts w:ascii="Times New Roman" w:hAnsi="Times New Roman" w:cs="Times New Roman"/>
          <w:sz w:val="24"/>
          <w:szCs w:val="24"/>
          <w:lang w:val="en-US"/>
        </w:rPr>
        <w:t xml:space="preserve"> Australians </w:t>
      </w:r>
      <w:r>
        <w:rPr>
          <w:rFonts w:ascii="Times New Roman" w:hAnsi="Times New Roman" w:cs="Times New Roman"/>
          <w:sz w:val="24"/>
          <w:szCs w:val="24"/>
          <w:lang w:val="en-US"/>
        </w:rPr>
        <w:lastRenderedPageBreak/>
        <w:t xml:space="preserve">requiring hospitalization (8% of its population), </w:t>
      </w:r>
      <w:r w:rsidR="001C23DC">
        <w:rPr>
          <w:rFonts w:ascii="Times New Roman" w:hAnsi="Times New Roman" w:cs="Times New Roman"/>
          <w:sz w:val="24"/>
          <w:szCs w:val="24"/>
          <w:lang w:val="en-US"/>
        </w:rPr>
        <w:t>and 5</w:t>
      </w:r>
      <w:r>
        <w:rPr>
          <w:rFonts w:ascii="Times New Roman" w:hAnsi="Times New Roman" w:cs="Times New Roman"/>
          <w:sz w:val="24"/>
          <w:szCs w:val="24"/>
          <w:lang w:val="en-US"/>
        </w:rPr>
        <w:t xml:space="preserve">00,000 of these requiring an ICU.  However, there would not be enough hospital beds or ICUs in the country or medical staff to cater for even a fraction of them.  </w:t>
      </w:r>
    </w:p>
    <w:p w14:paraId="2C0C017D" w14:textId="77777777" w:rsidR="008702F9" w:rsidRDefault="008702F9" w:rsidP="008702F9">
      <w:pPr>
        <w:spacing w:after="0" w:line="360" w:lineRule="auto"/>
        <w:jc w:val="both"/>
        <w:rPr>
          <w:rFonts w:ascii="Times New Roman" w:hAnsi="Times New Roman" w:cs="Times New Roman"/>
          <w:sz w:val="24"/>
          <w:szCs w:val="24"/>
          <w:lang w:val="en-US"/>
        </w:rPr>
      </w:pPr>
    </w:p>
    <w:p w14:paraId="63A1DB18"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w:t>
      </w:r>
      <w:r w:rsidR="006A17A3">
        <w:rPr>
          <w:rFonts w:ascii="Times New Roman" w:hAnsi="Times New Roman" w:cs="Times New Roman"/>
          <w:sz w:val="24"/>
          <w:szCs w:val="24"/>
          <w:lang w:val="en-US"/>
        </w:rPr>
        <w:t xml:space="preserve">Bailey and West (2020, Appendix A) </w:t>
      </w:r>
      <w:r w:rsidR="00D95049">
        <w:rPr>
          <w:rFonts w:ascii="Times New Roman" w:hAnsi="Times New Roman" w:cs="Times New Roman"/>
          <w:sz w:val="24"/>
          <w:szCs w:val="24"/>
          <w:lang w:val="en-US"/>
        </w:rPr>
        <w:t>estimate</w:t>
      </w:r>
      <w:r>
        <w:rPr>
          <w:rFonts w:ascii="Times New Roman" w:hAnsi="Times New Roman" w:cs="Times New Roman"/>
          <w:sz w:val="24"/>
          <w:szCs w:val="24"/>
          <w:lang w:val="en-US"/>
        </w:rPr>
        <w:t xml:space="preserve"> hospitalized cases at </w:t>
      </w:r>
      <w:r w:rsidR="006A17A3">
        <w:rPr>
          <w:rFonts w:ascii="Times New Roman" w:hAnsi="Times New Roman" w:cs="Times New Roman"/>
          <w:sz w:val="24"/>
          <w:szCs w:val="24"/>
          <w:lang w:val="en-US"/>
        </w:rPr>
        <w:t xml:space="preserve">960,000, </w:t>
      </w:r>
      <w:r>
        <w:rPr>
          <w:rFonts w:ascii="Times New Roman" w:hAnsi="Times New Roman" w:cs="Times New Roman"/>
          <w:sz w:val="24"/>
          <w:szCs w:val="24"/>
          <w:lang w:val="en-US"/>
        </w:rPr>
        <w:t xml:space="preserve">ICU cases as </w:t>
      </w:r>
      <w:r w:rsidR="006A17A3">
        <w:rPr>
          <w:rFonts w:ascii="Times New Roman" w:hAnsi="Times New Roman" w:cs="Times New Roman"/>
          <w:sz w:val="24"/>
          <w:szCs w:val="24"/>
          <w:lang w:val="en-US"/>
        </w:rPr>
        <w:t>256,000</w:t>
      </w:r>
      <w:r w:rsidR="00FC73E3">
        <w:rPr>
          <w:rFonts w:ascii="Times New Roman" w:hAnsi="Times New Roman" w:cs="Times New Roman"/>
          <w:sz w:val="24"/>
          <w:szCs w:val="24"/>
          <w:lang w:val="en-US"/>
        </w:rPr>
        <w:t>,</w:t>
      </w:r>
      <w:r w:rsidR="006A17A3">
        <w:rPr>
          <w:rFonts w:ascii="Times New Roman" w:hAnsi="Times New Roman" w:cs="Times New Roman"/>
          <w:sz w:val="24"/>
          <w:szCs w:val="24"/>
          <w:lang w:val="en-US"/>
        </w:rPr>
        <w:t xml:space="preserve"> and deaths at 141,000 under a mitigation policy.  </w:t>
      </w:r>
      <w:r>
        <w:rPr>
          <w:rFonts w:ascii="Times New Roman" w:hAnsi="Times New Roman" w:cs="Times New Roman"/>
          <w:sz w:val="24"/>
          <w:szCs w:val="24"/>
          <w:lang w:val="en-US"/>
        </w:rPr>
        <w:t>Since my upper bound on the number of dead under a mitigation p</w:t>
      </w:r>
      <w:r w:rsidR="006A17A3">
        <w:rPr>
          <w:rFonts w:ascii="Times New Roman" w:hAnsi="Times New Roman" w:cs="Times New Roman"/>
          <w:sz w:val="24"/>
          <w:szCs w:val="24"/>
          <w:lang w:val="en-US"/>
        </w:rPr>
        <w:t>olicy is 18,000</w:t>
      </w:r>
      <w:r w:rsidRPr="00C5535E">
        <w:rPr>
          <w:rFonts w:ascii="Times New Roman" w:hAnsi="Times New Roman" w:cs="Times New Roman"/>
          <w:i/>
          <w:sz w:val="24"/>
          <w:szCs w:val="24"/>
          <w:lang w:val="en-US"/>
        </w:rPr>
        <w:t>N</w:t>
      </w:r>
      <w:r>
        <w:rPr>
          <w:rFonts w:ascii="Times New Roman" w:hAnsi="Times New Roman" w:cs="Times New Roman"/>
          <w:sz w:val="24"/>
          <w:szCs w:val="24"/>
          <w:lang w:val="en-US"/>
        </w:rPr>
        <w:t xml:space="preserve">, this implies </w:t>
      </w:r>
      <w:r w:rsidR="006A17A3">
        <w:rPr>
          <w:rFonts w:ascii="Times New Roman" w:hAnsi="Times New Roman" w:cs="Times New Roman"/>
          <w:sz w:val="24"/>
          <w:szCs w:val="24"/>
          <w:lang w:val="en-US"/>
        </w:rPr>
        <w:t>122</w:t>
      </w:r>
      <w:r>
        <w:rPr>
          <w:rFonts w:ascii="Times New Roman" w:hAnsi="Times New Roman" w:cs="Times New Roman"/>
          <w:sz w:val="24"/>
          <w:szCs w:val="24"/>
          <w:lang w:val="en-US"/>
        </w:rPr>
        <w:t>,000</w:t>
      </w:r>
      <w:r w:rsidRPr="00C5535E">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hospitalised</w:t>
      </w:r>
      <w:proofErr w:type="spellEnd"/>
      <w:r>
        <w:rPr>
          <w:rFonts w:ascii="Times New Roman" w:hAnsi="Times New Roman" w:cs="Times New Roman"/>
          <w:sz w:val="24"/>
          <w:szCs w:val="24"/>
          <w:lang w:val="en-US"/>
        </w:rPr>
        <w:t xml:space="preserve"> cases and </w:t>
      </w:r>
      <w:r w:rsidR="006A17A3">
        <w:rPr>
          <w:rFonts w:ascii="Times New Roman" w:hAnsi="Times New Roman" w:cs="Times New Roman"/>
          <w:sz w:val="24"/>
          <w:szCs w:val="24"/>
          <w:lang w:val="en-US"/>
        </w:rPr>
        <w:t>33</w:t>
      </w:r>
      <w:r>
        <w:rPr>
          <w:rFonts w:ascii="Times New Roman" w:hAnsi="Times New Roman" w:cs="Times New Roman"/>
          <w:sz w:val="24"/>
          <w:szCs w:val="24"/>
          <w:lang w:val="en-US"/>
        </w:rPr>
        <w:t>,000</w:t>
      </w:r>
      <w:r w:rsidRPr="00C5535E">
        <w:rPr>
          <w:rFonts w:ascii="Times New Roman" w:hAnsi="Times New Roman" w:cs="Times New Roman"/>
          <w:i/>
          <w:sz w:val="24"/>
          <w:szCs w:val="24"/>
          <w:lang w:val="en-US"/>
        </w:rPr>
        <w:t>N</w:t>
      </w:r>
      <w:r>
        <w:rPr>
          <w:rFonts w:ascii="Times New Roman" w:hAnsi="Times New Roman" w:cs="Times New Roman"/>
          <w:sz w:val="24"/>
          <w:szCs w:val="24"/>
          <w:lang w:val="en-US"/>
        </w:rPr>
        <w:t xml:space="preserve"> ICU cases.  I assume (again to be conservative) that the </w:t>
      </w:r>
      <w:r w:rsidR="003960E6">
        <w:rPr>
          <w:rFonts w:ascii="Times New Roman" w:hAnsi="Times New Roman" w:cs="Times New Roman"/>
          <w:sz w:val="24"/>
          <w:szCs w:val="24"/>
          <w:lang w:val="en-US"/>
        </w:rPr>
        <w:t xml:space="preserve">Australian </w:t>
      </w:r>
      <w:r>
        <w:rPr>
          <w:rFonts w:ascii="Times New Roman" w:hAnsi="Times New Roman" w:cs="Times New Roman"/>
          <w:sz w:val="24"/>
          <w:szCs w:val="24"/>
          <w:lang w:val="en-US"/>
        </w:rPr>
        <w:t xml:space="preserve">hospital system could accommodate all of them.  Furthermore, whatever number of cases were accommodated, they would be to </w:t>
      </w:r>
      <w:r w:rsidR="00D95049">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degree permanently displacing other types of patients so the incremental costs would be even less.  Even without displacement, most of these costs would be fixed (staff, buildings, and equipment) and therefore irrelevant.  In the interests of being conservative, I assume no displacement of other types of patients and all costs being variable.  With </w:t>
      </w:r>
      <w:r w:rsidR="00B54521">
        <w:rPr>
          <w:rFonts w:ascii="Times New Roman" w:hAnsi="Times New Roman" w:cs="Times New Roman"/>
          <w:sz w:val="24"/>
          <w:szCs w:val="24"/>
          <w:lang w:val="en-US"/>
        </w:rPr>
        <w:t>A</w:t>
      </w:r>
      <w:r w:rsidR="0009039B">
        <w:rPr>
          <w:rFonts w:ascii="Times New Roman" w:hAnsi="Times New Roman" w:cs="Times New Roman"/>
          <w:sz w:val="24"/>
          <w:szCs w:val="24"/>
          <w:lang w:val="en-US"/>
        </w:rPr>
        <w:t>ustralia’s GDP per capita of $75</w:t>
      </w:r>
      <w:r>
        <w:rPr>
          <w:rFonts w:ascii="Times New Roman" w:hAnsi="Times New Roman" w:cs="Times New Roman"/>
          <w:sz w:val="24"/>
          <w:szCs w:val="24"/>
          <w:lang w:val="en-US"/>
        </w:rPr>
        <w:t>,000, the upper bound on the resulting</w:t>
      </w:r>
      <w:r w:rsidR="0009039B">
        <w:rPr>
          <w:rFonts w:ascii="Times New Roman" w:hAnsi="Times New Roman" w:cs="Times New Roman"/>
          <w:sz w:val="24"/>
          <w:szCs w:val="24"/>
          <w:lang w:val="en-US"/>
        </w:rPr>
        <w:t xml:space="preserve"> incremental costs would be $4.2</w:t>
      </w:r>
      <w:r>
        <w:rPr>
          <w:rFonts w:ascii="Times New Roman" w:hAnsi="Times New Roman" w:cs="Times New Roman"/>
          <w:sz w:val="24"/>
          <w:szCs w:val="24"/>
          <w:lang w:val="en-US"/>
        </w:rPr>
        <w:t>b</w:t>
      </w:r>
      <w:r w:rsidRPr="00C5535E">
        <w:rPr>
          <w:rFonts w:ascii="Times New Roman" w:hAnsi="Times New Roman" w:cs="Times New Roman"/>
          <w:i/>
          <w:sz w:val="24"/>
          <w:szCs w:val="24"/>
          <w:lang w:val="en-US"/>
        </w:rPr>
        <w:t>N</w:t>
      </w:r>
      <w:r>
        <w:rPr>
          <w:rFonts w:ascii="Times New Roman" w:hAnsi="Times New Roman" w:cs="Times New Roman"/>
          <w:sz w:val="24"/>
          <w:szCs w:val="24"/>
          <w:lang w:val="en-US"/>
        </w:rPr>
        <w:t xml:space="preserve"> as follows:</w:t>
      </w:r>
    </w:p>
    <w:p w14:paraId="535F1AE2" w14:textId="77777777" w:rsidR="008702F9" w:rsidRDefault="008702F9" w:rsidP="008702F9">
      <w:pPr>
        <w:spacing w:after="0" w:line="360" w:lineRule="auto"/>
        <w:jc w:val="both"/>
        <w:rPr>
          <w:rFonts w:ascii="Times New Roman" w:hAnsi="Times New Roman" w:cs="Times New Roman"/>
          <w:sz w:val="24"/>
          <w:szCs w:val="24"/>
          <w:lang w:val="en-US"/>
        </w:rPr>
      </w:pPr>
    </w:p>
    <w:p w14:paraId="029730EA" w14:textId="77777777" w:rsidR="008702F9" w:rsidRDefault="0009039B"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75,000</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122,000N(0.3)+33,000N</m:t>
              </m:r>
              <m:d>
                <m:dPr>
                  <m:ctrlPr>
                    <w:rPr>
                      <w:rFonts w:ascii="Cambria Math" w:hAnsi="Cambria Math" w:cs="Times New Roman"/>
                      <w:i/>
                      <w:sz w:val="24"/>
                      <w:szCs w:val="24"/>
                      <w:lang w:val="en-US"/>
                    </w:rPr>
                  </m:ctrlPr>
                </m:dPr>
                <m:e>
                  <m:r>
                    <w:rPr>
                      <w:rFonts w:ascii="Cambria Math" w:hAnsi="Cambria Math" w:cs="Times New Roman"/>
                      <w:sz w:val="24"/>
                      <w:szCs w:val="24"/>
                      <w:lang w:val="en-US"/>
                    </w:rPr>
                    <m:t>0.6</m:t>
                  </m:r>
                </m:e>
              </m:d>
            </m:e>
          </m:d>
          <m:r>
            <w:rPr>
              <w:rFonts w:ascii="Cambria Math" w:hAnsi="Cambria Math" w:cs="Times New Roman"/>
              <w:sz w:val="24"/>
              <w:szCs w:val="24"/>
              <w:lang w:val="en-US"/>
            </w:rPr>
            <m:t>=$4.2b</m:t>
          </m:r>
          <m:r>
            <w:rPr>
              <w:rFonts w:ascii="Cambria Math" w:eastAsiaTheme="minorEastAsia" w:hAnsi="Cambria Math" w:cs="Times New Roman"/>
              <w:sz w:val="24"/>
              <w:szCs w:val="24"/>
              <w:lang w:val="en-US"/>
            </w:rPr>
            <m:t>N</m:t>
          </m:r>
        </m:oMath>
      </m:oMathPara>
    </w:p>
    <w:p w14:paraId="7D3C2831" w14:textId="77777777" w:rsidR="008702F9" w:rsidRDefault="008702F9" w:rsidP="008702F9">
      <w:pPr>
        <w:spacing w:after="0" w:line="360" w:lineRule="auto"/>
        <w:jc w:val="both"/>
        <w:rPr>
          <w:rFonts w:ascii="Times New Roman" w:hAnsi="Times New Roman" w:cs="Times New Roman"/>
          <w:sz w:val="24"/>
          <w:szCs w:val="24"/>
          <w:lang w:val="en-US"/>
        </w:rPr>
      </w:pPr>
    </w:p>
    <w:p w14:paraId="07DEDFEF" w14:textId="77777777" w:rsidR="008702F9" w:rsidRDefault="008D1FD5" w:rsidP="008702F9">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Kompas</w:t>
      </w:r>
      <w:proofErr w:type="spellEnd"/>
      <w:r>
        <w:rPr>
          <w:rFonts w:ascii="Times New Roman" w:hAnsi="Times New Roman" w:cs="Times New Roman"/>
          <w:sz w:val="24"/>
          <w:szCs w:val="24"/>
          <w:lang w:val="en-US"/>
        </w:rPr>
        <w:t xml:space="preserve"> et al (2020, section 4.3) estimates the costs at $23.3b under their no suppression scenario, which involves 260,000 deaths.  Scaled down to reflect the 18,000</w:t>
      </w:r>
      <w:r w:rsidR="00AB238B" w:rsidRPr="00AB238B">
        <w:rPr>
          <w:rFonts w:ascii="Times New Roman" w:hAnsi="Times New Roman" w:cs="Times New Roman"/>
          <w:i/>
          <w:sz w:val="24"/>
          <w:szCs w:val="24"/>
          <w:lang w:val="en-US"/>
        </w:rPr>
        <w:t>N</w:t>
      </w:r>
      <w:r>
        <w:rPr>
          <w:rFonts w:ascii="Times New Roman" w:hAnsi="Times New Roman" w:cs="Times New Roman"/>
          <w:sz w:val="24"/>
          <w:szCs w:val="24"/>
          <w:lang w:val="en-US"/>
        </w:rPr>
        <w:t xml:space="preserve"> deaths forecasted by me under a mitigation scenario, the result is $1.6b</w:t>
      </w:r>
      <w:r w:rsidR="00AB238B" w:rsidRPr="00AB238B">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sidR="008F52EC">
        <w:rPr>
          <w:rFonts w:ascii="Times New Roman" w:hAnsi="Times New Roman" w:cs="Times New Roman"/>
          <w:sz w:val="24"/>
          <w:szCs w:val="24"/>
          <w:lang w:val="en-US"/>
        </w:rPr>
        <w:t xml:space="preserve">Using </w:t>
      </w:r>
      <w:r>
        <w:rPr>
          <w:rFonts w:ascii="Times New Roman" w:hAnsi="Times New Roman" w:cs="Times New Roman"/>
          <w:sz w:val="24"/>
          <w:szCs w:val="24"/>
          <w:lang w:val="en-US"/>
        </w:rPr>
        <w:t>the higher figure of $4.2b</w:t>
      </w:r>
      <w:r w:rsidR="00AB238B" w:rsidRPr="00AB238B">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sidR="008F52EC">
        <w:rPr>
          <w:rFonts w:ascii="Times New Roman" w:hAnsi="Times New Roman" w:cs="Times New Roman"/>
          <w:sz w:val="24"/>
          <w:szCs w:val="24"/>
          <w:lang w:val="en-US"/>
        </w:rPr>
        <w:t>to modify equation (5</w:t>
      </w:r>
      <w:r w:rsidR="008702F9">
        <w:rPr>
          <w:rFonts w:ascii="Times New Roman" w:hAnsi="Times New Roman" w:cs="Times New Roman"/>
          <w:sz w:val="24"/>
          <w:szCs w:val="24"/>
          <w:lang w:val="en-US"/>
        </w:rPr>
        <w:t>), the cost per QALY is now as follows:</w:t>
      </w:r>
    </w:p>
    <w:p w14:paraId="0C418F3F" w14:textId="77777777" w:rsidR="008702F9" w:rsidRDefault="008702F9" w:rsidP="008702F9">
      <w:pPr>
        <w:spacing w:after="0" w:line="360" w:lineRule="auto"/>
        <w:jc w:val="both"/>
        <w:rPr>
          <w:rFonts w:ascii="Times New Roman" w:hAnsi="Times New Roman" w:cs="Times New Roman"/>
          <w:sz w:val="24"/>
          <w:szCs w:val="24"/>
          <w:lang w:val="en-US"/>
        </w:rPr>
      </w:pPr>
    </w:p>
    <w:p w14:paraId="4A2118F0" w14:textId="77777777" w:rsidR="008702F9" w:rsidRDefault="008702F9"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$160b-N$4.2b</m:t>
              </m:r>
            </m:num>
            <m:den>
              <m:r>
                <w:rPr>
                  <w:rFonts w:ascii="Cambria Math" w:hAnsi="Cambria Math" w:cs="Times New Roman"/>
                  <w:sz w:val="24"/>
                  <w:szCs w:val="24"/>
                  <w:lang w:val="en-US"/>
                </w:rPr>
                <m:t>68,000N</m:t>
              </m:r>
            </m:den>
          </m:f>
          <m:r>
            <w:rPr>
              <w:rFonts w:ascii="Cambria Math" w:hAnsi="Cambria Math" w:cs="Times New Roman"/>
              <w:sz w:val="24"/>
              <w:szCs w:val="24"/>
              <w:lang w:val="en-US"/>
            </w:rPr>
            <m:t xml:space="preserve">                                                      (6) </m:t>
          </m:r>
        </m:oMath>
      </m:oMathPara>
    </w:p>
    <w:p w14:paraId="72C679BD" w14:textId="77777777" w:rsidR="008702F9" w:rsidRDefault="008702F9" w:rsidP="008702F9">
      <w:pPr>
        <w:spacing w:after="0" w:line="360" w:lineRule="auto"/>
        <w:jc w:val="both"/>
        <w:rPr>
          <w:rFonts w:ascii="Times New Roman" w:hAnsi="Times New Roman" w:cs="Times New Roman"/>
          <w:sz w:val="24"/>
          <w:szCs w:val="24"/>
          <w:lang w:val="en-US"/>
        </w:rPr>
      </w:pPr>
    </w:p>
    <w:p w14:paraId="43393D99" w14:textId="77777777" w:rsidR="00E61E31"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Secondly, mitigation gives rise to some survivors who may experience significant long-term adverse consequences.  Arnold et al (2020) report that, amongst Covid-19 cases in the UK who were hospitalized, 26% died and 74% of the rest had ongoing problems after 12 weeks, implying a ratio of slow recovery patients to dead of 74*0.74/26 = 2.1.  However, this ratio will be too low because it excludes slow recovery patients who were never hospitalized.  Using data from the Covid Symptom Study, </w:t>
      </w:r>
      <w:proofErr w:type="spellStart"/>
      <w:r>
        <w:rPr>
          <w:rFonts w:ascii="Times New Roman" w:hAnsi="Times New Roman" w:cs="Times New Roman"/>
          <w:sz w:val="24"/>
          <w:szCs w:val="24"/>
          <w:lang w:val="en-US"/>
        </w:rPr>
        <w:t>Couzin</w:t>
      </w:r>
      <w:proofErr w:type="spellEnd"/>
      <w:r>
        <w:rPr>
          <w:rFonts w:ascii="Times New Roman" w:hAnsi="Times New Roman" w:cs="Times New Roman"/>
          <w:sz w:val="24"/>
          <w:szCs w:val="24"/>
          <w:lang w:val="en-US"/>
        </w:rPr>
        <w:t xml:space="preserve">-Frankel (2020) estimates that 10-15% of </w:t>
      </w:r>
      <w:r w:rsidRPr="00D36669">
        <w:rPr>
          <w:rFonts w:ascii="Times New Roman" w:hAnsi="Times New Roman" w:cs="Times New Roman"/>
          <w:i/>
          <w:sz w:val="24"/>
          <w:szCs w:val="24"/>
          <w:lang w:val="en-US"/>
        </w:rPr>
        <w:t>all</w:t>
      </w:r>
      <w:r>
        <w:rPr>
          <w:rFonts w:ascii="Times New Roman" w:hAnsi="Times New Roman" w:cs="Times New Roman"/>
          <w:sz w:val="24"/>
          <w:szCs w:val="24"/>
          <w:lang w:val="en-US"/>
        </w:rPr>
        <w:t xml:space="preserve"> of those infected do not recover quickly.  More recently, and using the same data source, Greenhalgh and Knight (2020) estimate that 10% of those who have tested positive remain </w:t>
      </w:r>
      <w:r>
        <w:rPr>
          <w:rFonts w:ascii="Times New Roman" w:hAnsi="Times New Roman" w:cs="Times New Roman"/>
          <w:sz w:val="24"/>
          <w:szCs w:val="24"/>
          <w:lang w:val="en-US"/>
        </w:rPr>
        <w:lastRenderedPageBreak/>
        <w:t xml:space="preserve">unwell after three weeks and a smaller (but unquantified) proportion for months.  </w:t>
      </w:r>
      <w:r w:rsidR="00C436F3">
        <w:rPr>
          <w:rFonts w:ascii="Times New Roman" w:hAnsi="Times New Roman" w:cs="Times New Roman"/>
          <w:sz w:val="24"/>
          <w:szCs w:val="24"/>
          <w:lang w:val="en-US"/>
        </w:rPr>
        <w:t xml:space="preserve">More recently, in October, </w:t>
      </w:r>
      <w:proofErr w:type="spellStart"/>
      <w:r w:rsidR="00C436F3">
        <w:rPr>
          <w:rFonts w:ascii="Times New Roman" w:hAnsi="Times New Roman" w:cs="Times New Roman"/>
          <w:sz w:val="24"/>
          <w:szCs w:val="24"/>
          <w:lang w:val="en-US"/>
        </w:rPr>
        <w:t>Sud</w:t>
      </w:r>
      <w:r w:rsidR="00912D0F">
        <w:rPr>
          <w:rFonts w:ascii="Times New Roman" w:hAnsi="Times New Roman" w:cs="Times New Roman"/>
          <w:sz w:val="24"/>
          <w:szCs w:val="24"/>
          <w:lang w:val="en-US"/>
        </w:rPr>
        <w:t>re</w:t>
      </w:r>
      <w:proofErr w:type="spellEnd"/>
      <w:r w:rsidR="00912D0F">
        <w:rPr>
          <w:rFonts w:ascii="Times New Roman" w:hAnsi="Times New Roman" w:cs="Times New Roman"/>
          <w:sz w:val="24"/>
          <w:szCs w:val="24"/>
          <w:lang w:val="en-US"/>
        </w:rPr>
        <w:t xml:space="preserve"> et al (2020) estimate that </w:t>
      </w:r>
      <w:r w:rsidR="00C61163">
        <w:rPr>
          <w:rFonts w:ascii="Times New Roman" w:hAnsi="Times New Roman" w:cs="Times New Roman"/>
          <w:sz w:val="24"/>
          <w:szCs w:val="24"/>
          <w:lang w:val="en-US"/>
        </w:rPr>
        <w:t xml:space="preserve">13.3% </w:t>
      </w:r>
      <w:r w:rsidR="00F80CFD">
        <w:rPr>
          <w:rFonts w:ascii="Times New Roman" w:hAnsi="Times New Roman" w:cs="Times New Roman"/>
          <w:sz w:val="24"/>
          <w:szCs w:val="24"/>
          <w:lang w:val="en-US"/>
        </w:rPr>
        <w:t>of t</w:t>
      </w:r>
      <w:r w:rsidR="00C436F3">
        <w:rPr>
          <w:rFonts w:ascii="Times New Roman" w:hAnsi="Times New Roman" w:cs="Times New Roman"/>
          <w:sz w:val="24"/>
          <w:szCs w:val="24"/>
          <w:lang w:val="en-US"/>
        </w:rPr>
        <w:t>hose who tested posit</w:t>
      </w:r>
      <w:r w:rsidR="00912D0F">
        <w:rPr>
          <w:rFonts w:ascii="Times New Roman" w:hAnsi="Times New Roman" w:cs="Times New Roman"/>
          <w:sz w:val="24"/>
          <w:szCs w:val="24"/>
          <w:lang w:val="en-US"/>
        </w:rPr>
        <w:t xml:space="preserve">ive remained unwell for </w:t>
      </w:r>
      <w:r w:rsidR="00C61163">
        <w:rPr>
          <w:rFonts w:ascii="Times New Roman" w:hAnsi="Times New Roman" w:cs="Times New Roman"/>
          <w:sz w:val="24"/>
          <w:szCs w:val="24"/>
          <w:lang w:val="en-US"/>
        </w:rPr>
        <w:t xml:space="preserve">at least four weeks, with 8.8% resolved in </w:t>
      </w:r>
      <w:r w:rsidR="00A27ED9">
        <w:rPr>
          <w:rFonts w:ascii="Times New Roman" w:hAnsi="Times New Roman" w:cs="Times New Roman"/>
          <w:sz w:val="24"/>
          <w:szCs w:val="24"/>
          <w:lang w:val="en-US"/>
        </w:rPr>
        <w:t>4 -</w:t>
      </w:r>
      <w:r w:rsidR="00912D0F">
        <w:rPr>
          <w:rFonts w:ascii="Times New Roman" w:hAnsi="Times New Roman" w:cs="Times New Roman"/>
          <w:sz w:val="24"/>
          <w:szCs w:val="24"/>
          <w:lang w:val="en-US"/>
        </w:rPr>
        <w:t xml:space="preserve"> </w:t>
      </w:r>
      <w:r w:rsidR="00A27ED9">
        <w:rPr>
          <w:rFonts w:ascii="Times New Roman" w:hAnsi="Times New Roman" w:cs="Times New Roman"/>
          <w:sz w:val="24"/>
          <w:szCs w:val="24"/>
          <w:lang w:val="en-US"/>
        </w:rPr>
        <w:t>8</w:t>
      </w:r>
      <w:r w:rsidR="00F80CFD">
        <w:rPr>
          <w:rFonts w:ascii="Times New Roman" w:hAnsi="Times New Roman" w:cs="Times New Roman"/>
          <w:sz w:val="24"/>
          <w:szCs w:val="24"/>
          <w:lang w:val="en-US"/>
        </w:rPr>
        <w:t xml:space="preserve"> </w:t>
      </w:r>
      <w:r w:rsidR="00C436F3">
        <w:rPr>
          <w:rFonts w:ascii="Times New Roman" w:hAnsi="Times New Roman" w:cs="Times New Roman"/>
          <w:sz w:val="24"/>
          <w:szCs w:val="24"/>
          <w:lang w:val="en-US"/>
        </w:rPr>
        <w:t>weeks</w:t>
      </w:r>
      <w:r w:rsidR="00912D0F">
        <w:rPr>
          <w:rFonts w:ascii="Times New Roman" w:hAnsi="Times New Roman" w:cs="Times New Roman"/>
          <w:sz w:val="24"/>
          <w:szCs w:val="24"/>
          <w:lang w:val="en-US"/>
        </w:rPr>
        <w:t xml:space="preserve">, </w:t>
      </w:r>
      <w:r w:rsidR="00A27ED9">
        <w:rPr>
          <w:rFonts w:ascii="Times New Roman" w:hAnsi="Times New Roman" w:cs="Times New Roman"/>
          <w:sz w:val="24"/>
          <w:szCs w:val="24"/>
          <w:lang w:val="en-US"/>
        </w:rPr>
        <w:t xml:space="preserve">a further 2.2% </w:t>
      </w:r>
      <w:r w:rsidR="00C61163">
        <w:rPr>
          <w:rFonts w:ascii="Times New Roman" w:hAnsi="Times New Roman" w:cs="Times New Roman"/>
          <w:sz w:val="24"/>
          <w:szCs w:val="24"/>
          <w:lang w:val="en-US"/>
        </w:rPr>
        <w:t xml:space="preserve">resolved in </w:t>
      </w:r>
      <w:r w:rsidR="00A27ED9">
        <w:rPr>
          <w:rFonts w:ascii="Times New Roman" w:hAnsi="Times New Roman" w:cs="Times New Roman"/>
          <w:sz w:val="24"/>
          <w:szCs w:val="24"/>
          <w:lang w:val="en-US"/>
        </w:rPr>
        <w:t xml:space="preserve">8 – 12 weeks, and </w:t>
      </w:r>
      <w:r w:rsidR="00C61163">
        <w:rPr>
          <w:rFonts w:ascii="Times New Roman" w:hAnsi="Times New Roman" w:cs="Times New Roman"/>
          <w:sz w:val="24"/>
          <w:szCs w:val="24"/>
          <w:lang w:val="en-US"/>
        </w:rPr>
        <w:t xml:space="preserve">the remaining </w:t>
      </w:r>
      <w:r w:rsidR="00A27ED9">
        <w:rPr>
          <w:rFonts w:ascii="Times New Roman" w:hAnsi="Times New Roman" w:cs="Times New Roman"/>
          <w:sz w:val="24"/>
          <w:szCs w:val="24"/>
          <w:lang w:val="en-US"/>
        </w:rPr>
        <w:t xml:space="preserve">2.3% </w:t>
      </w:r>
      <w:r w:rsidR="00C61163">
        <w:rPr>
          <w:rFonts w:ascii="Times New Roman" w:hAnsi="Times New Roman" w:cs="Times New Roman"/>
          <w:sz w:val="24"/>
          <w:szCs w:val="24"/>
          <w:lang w:val="en-US"/>
        </w:rPr>
        <w:t xml:space="preserve">unresolved after </w:t>
      </w:r>
      <w:r w:rsidR="00C436F3">
        <w:rPr>
          <w:rFonts w:ascii="Times New Roman" w:hAnsi="Times New Roman" w:cs="Times New Roman"/>
          <w:sz w:val="24"/>
          <w:szCs w:val="24"/>
          <w:lang w:val="en-US"/>
        </w:rPr>
        <w:t xml:space="preserve">12 weeks.  </w:t>
      </w:r>
      <w:r w:rsidR="00E61E31">
        <w:rPr>
          <w:rFonts w:ascii="Times New Roman" w:hAnsi="Times New Roman" w:cs="Times New Roman"/>
          <w:sz w:val="24"/>
          <w:szCs w:val="24"/>
          <w:lang w:val="en-US"/>
        </w:rPr>
        <w:t>A pattern consis</w:t>
      </w:r>
      <w:r w:rsidR="001914B4">
        <w:rPr>
          <w:rFonts w:ascii="Times New Roman" w:hAnsi="Times New Roman" w:cs="Times New Roman"/>
          <w:sz w:val="24"/>
          <w:szCs w:val="24"/>
          <w:lang w:val="en-US"/>
        </w:rPr>
        <w:t xml:space="preserve">tent with this data is that, amongst this group who are still unwell after 4 weeks, </w:t>
      </w:r>
      <w:r w:rsidR="00E61E31">
        <w:rPr>
          <w:rFonts w:ascii="Times New Roman" w:hAnsi="Times New Roman" w:cs="Times New Roman"/>
          <w:sz w:val="24"/>
          <w:szCs w:val="24"/>
          <w:lang w:val="en-US"/>
        </w:rPr>
        <w:t xml:space="preserve">68% </w:t>
      </w:r>
      <w:r w:rsidR="00A31D92">
        <w:rPr>
          <w:rFonts w:ascii="Times New Roman" w:hAnsi="Times New Roman" w:cs="Times New Roman"/>
          <w:sz w:val="24"/>
          <w:szCs w:val="24"/>
          <w:lang w:val="en-US"/>
        </w:rPr>
        <w:t xml:space="preserve">experience symptoms for </w:t>
      </w:r>
      <w:r w:rsidR="00E61E31">
        <w:rPr>
          <w:rFonts w:ascii="Times New Roman" w:hAnsi="Times New Roman" w:cs="Times New Roman"/>
          <w:sz w:val="24"/>
          <w:szCs w:val="24"/>
          <w:lang w:val="en-US"/>
        </w:rPr>
        <w:t>4 – 8 weeks, 16% for 8 – 12 weeks, 8% for 12 – 16 weeks, etc.  The average time unwell is then</w:t>
      </w:r>
    </w:p>
    <w:p w14:paraId="05FCECD4" w14:textId="77777777" w:rsidR="00E61E31" w:rsidRDefault="00E61E31" w:rsidP="008702F9">
      <w:pPr>
        <w:spacing w:after="0" w:line="360" w:lineRule="auto"/>
        <w:jc w:val="both"/>
        <w:rPr>
          <w:rFonts w:ascii="Times New Roman" w:hAnsi="Times New Roman" w:cs="Times New Roman"/>
          <w:sz w:val="24"/>
          <w:szCs w:val="24"/>
          <w:lang w:val="en-US"/>
        </w:rPr>
      </w:pPr>
    </w:p>
    <w:p w14:paraId="5316371D" w14:textId="77777777" w:rsidR="00E61E31" w:rsidRDefault="00E61E31"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Average=0.68</m:t>
          </m:r>
          <m:d>
            <m:dPr>
              <m:ctrlPr>
                <w:rPr>
                  <w:rFonts w:ascii="Cambria Math" w:hAnsi="Cambria Math" w:cs="Times New Roman"/>
                  <w:i/>
                  <w:sz w:val="24"/>
                  <w:szCs w:val="24"/>
                  <w:lang w:val="en-US"/>
                </w:rPr>
              </m:ctrlPr>
            </m:dPr>
            <m:e>
              <m:r>
                <w:rPr>
                  <w:rFonts w:ascii="Cambria Math" w:hAnsi="Cambria Math" w:cs="Times New Roman"/>
                  <w:sz w:val="24"/>
                  <w:szCs w:val="24"/>
                  <w:lang w:val="en-US"/>
                </w:rPr>
                <m:t>6</m:t>
              </m:r>
            </m:e>
          </m:d>
          <m:r>
            <w:rPr>
              <w:rFonts w:ascii="Cambria Math" w:hAnsi="Cambria Math" w:cs="Times New Roman"/>
              <w:sz w:val="24"/>
              <w:szCs w:val="24"/>
              <w:lang w:val="en-US"/>
            </w:rPr>
            <m:t>+0.16</m:t>
          </m:r>
          <m:d>
            <m:dPr>
              <m:ctrlPr>
                <w:rPr>
                  <w:rFonts w:ascii="Cambria Math" w:hAnsi="Cambria Math" w:cs="Times New Roman"/>
                  <w:i/>
                  <w:sz w:val="24"/>
                  <w:szCs w:val="24"/>
                  <w:lang w:val="en-US"/>
                </w:rPr>
              </m:ctrlPr>
            </m:dPr>
            <m:e>
              <m:r>
                <w:rPr>
                  <w:rFonts w:ascii="Cambria Math" w:hAnsi="Cambria Math" w:cs="Times New Roman"/>
                  <w:sz w:val="24"/>
                  <w:szCs w:val="24"/>
                  <w:lang w:val="en-US"/>
                </w:rPr>
                <m:t>10</m:t>
              </m:r>
            </m:e>
          </m:d>
          <m:r>
            <w:rPr>
              <w:rFonts w:ascii="Cambria Math" w:hAnsi="Cambria Math" w:cs="Times New Roman"/>
              <w:sz w:val="24"/>
              <w:szCs w:val="24"/>
              <w:lang w:val="en-US"/>
            </w:rPr>
            <m:t>+0.08</m:t>
          </m:r>
          <m:d>
            <m:dPr>
              <m:ctrlPr>
                <w:rPr>
                  <w:rFonts w:ascii="Cambria Math" w:hAnsi="Cambria Math" w:cs="Times New Roman"/>
                  <w:i/>
                  <w:sz w:val="24"/>
                  <w:szCs w:val="24"/>
                  <w:lang w:val="en-US"/>
                </w:rPr>
              </m:ctrlPr>
            </m:dPr>
            <m:e>
              <m:r>
                <w:rPr>
                  <w:rFonts w:ascii="Cambria Math" w:hAnsi="Cambria Math" w:cs="Times New Roman"/>
                  <w:sz w:val="24"/>
                  <w:szCs w:val="24"/>
                  <w:lang w:val="en-US"/>
                </w:rPr>
                <m:t>14</m:t>
              </m:r>
            </m:e>
          </m:d>
          <m:r>
            <w:rPr>
              <w:rFonts w:ascii="Cambria Math" w:hAnsi="Cambria Math" w:cs="Times New Roman"/>
              <w:sz w:val="24"/>
              <w:szCs w:val="24"/>
              <w:lang w:val="en-US"/>
            </w:rPr>
            <m:t>+0.04</m:t>
          </m:r>
          <m:d>
            <m:dPr>
              <m:ctrlPr>
                <w:rPr>
                  <w:rFonts w:ascii="Cambria Math" w:hAnsi="Cambria Math" w:cs="Times New Roman"/>
                  <w:i/>
                  <w:sz w:val="24"/>
                  <w:szCs w:val="24"/>
                  <w:lang w:val="en-US"/>
                </w:rPr>
              </m:ctrlPr>
            </m:dPr>
            <m:e>
              <m:r>
                <w:rPr>
                  <w:rFonts w:ascii="Cambria Math" w:hAnsi="Cambria Math" w:cs="Times New Roman"/>
                  <w:sz w:val="24"/>
                  <w:szCs w:val="24"/>
                  <w:lang w:val="en-US"/>
                </w:rPr>
                <m:t>18</m:t>
              </m:r>
            </m:e>
          </m:d>
          <m:r>
            <w:rPr>
              <w:rFonts w:ascii="Cambria Math" w:hAnsi="Cambria Math" w:cs="Times New Roman"/>
              <w:sz w:val="24"/>
              <w:szCs w:val="24"/>
              <w:lang w:val="en-US"/>
            </w:rPr>
            <m:t>+…</m:t>
          </m:r>
        </m:oMath>
      </m:oMathPara>
    </w:p>
    <w:p w14:paraId="164D32EC" w14:textId="77777777" w:rsidR="00E61E31" w:rsidRDefault="00E61E31" w:rsidP="008702F9">
      <w:pPr>
        <w:spacing w:after="0" w:line="360" w:lineRule="auto"/>
        <w:jc w:val="both"/>
        <w:rPr>
          <w:rFonts w:ascii="Times New Roman" w:hAnsi="Times New Roman" w:cs="Times New Roman"/>
          <w:sz w:val="24"/>
          <w:szCs w:val="24"/>
          <w:lang w:val="en-US"/>
        </w:rPr>
      </w:pPr>
    </w:p>
    <w:p w14:paraId="2AA743FA" w14:textId="77777777" w:rsidR="008702F9" w:rsidRDefault="00E61E31"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series can be decomposed into a set of geometric progressions and then added</w:t>
      </w:r>
      <w:r w:rsidR="00645E9D">
        <w:rPr>
          <w:rFonts w:ascii="Times New Roman" w:hAnsi="Times New Roman" w:cs="Times New Roman"/>
          <w:sz w:val="24"/>
          <w:szCs w:val="24"/>
          <w:lang w:val="en-US"/>
        </w:rPr>
        <w:t>,</w:t>
      </w:r>
      <w:r>
        <w:rPr>
          <w:rFonts w:ascii="Times New Roman" w:hAnsi="Times New Roman" w:cs="Times New Roman"/>
          <w:sz w:val="24"/>
          <w:szCs w:val="24"/>
          <w:lang w:val="en-US"/>
        </w:rPr>
        <w:t xml:space="preserve"> to yield </w:t>
      </w:r>
      <w:r w:rsidR="000D395E">
        <w:rPr>
          <w:rFonts w:ascii="Times New Roman" w:hAnsi="Times New Roman" w:cs="Times New Roman"/>
          <w:sz w:val="24"/>
          <w:szCs w:val="24"/>
          <w:lang w:val="en-US"/>
        </w:rPr>
        <w:t xml:space="preserve">an average of </w:t>
      </w:r>
      <w:r>
        <w:rPr>
          <w:rFonts w:ascii="Times New Roman" w:hAnsi="Times New Roman" w:cs="Times New Roman"/>
          <w:sz w:val="24"/>
          <w:szCs w:val="24"/>
          <w:lang w:val="en-US"/>
        </w:rPr>
        <w:t>9 weeks (0.16 years)</w:t>
      </w:r>
      <w:r w:rsidR="00F246EF">
        <w:rPr>
          <w:rFonts w:ascii="Times New Roman" w:hAnsi="Times New Roman" w:cs="Times New Roman"/>
          <w:sz w:val="24"/>
          <w:szCs w:val="24"/>
          <w:lang w:val="en-US"/>
        </w:rPr>
        <w:t xml:space="preserve">.  </w:t>
      </w:r>
      <w:r w:rsidR="008702F9">
        <w:rPr>
          <w:rFonts w:ascii="Times New Roman" w:hAnsi="Times New Roman" w:cs="Times New Roman"/>
          <w:sz w:val="24"/>
          <w:szCs w:val="24"/>
          <w:lang w:val="en-US"/>
        </w:rPr>
        <w:t xml:space="preserve">As of 15 October 2020, there </w:t>
      </w:r>
      <w:r w:rsidR="00AD3361">
        <w:rPr>
          <w:rFonts w:ascii="Times New Roman" w:hAnsi="Times New Roman" w:cs="Times New Roman"/>
          <w:sz w:val="24"/>
          <w:szCs w:val="24"/>
          <w:lang w:val="en-US"/>
        </w:rPr>
        <w:t xml:space="preserve">were </w:t>
      </w:r>
      <w:r w:rsidR="008702F9">
        <w:rPr>
          <w:rFonts w:ascii="Times New Roman" w:hAnsi="Times New Roman" w:cs="Times New Roman"/>
          <w:sz w:val="24"/>
          <w:szCs w:val="24"/>
          <w:lang w:val="en-US"/>
        </w:rPr>
        <w:t>38.6m recorded c</w:t>
      </w:r>
      <w:r w:rsidR="00511E4B">
        <w:rPr>
          <w:rFonts w:ascii="Times New Roman" w:hAnsi="Times New Roman" w:cs="Times New Roman"/>
          <w:sz w:val="24"/>
          <w:szCs w:val="24"/>
          <w:lang w:val="en-US"/>
        </w:rPr>
        <w:t>ases and 1.1m deaths worldwide.</w:t>
      </w:r>
      <w:r w:rsidR="008702F9">
        <w:rPr>
          <w:rStyle w:val="FootnoteReference"/>
          <w:rFonts w:ascii="Times New Roman" w:hAnsi="Times New Roman" w:cs="Times New Roman"/>
          <w:sz w:val="24"/>
          <w:szCs w:val="24"/>
          <w:lang w:val="en-US"/>
        </w:rPr>
        <w:footnoteReference w:id="21"/>
      </w:r>
      <w:r w:rsidR="008702F9">
        <w:rPr>
          <w:rFonts w:ascii="Times New Roman" w:hAnsi="Times New Roman" w:cs="Times New Roman"/>
          <w:sz w:val="24"/>
          <w:szCs w:val="24"/>
          <w:lang w:val="en-US"/>
        </w:rPr>
        <w:t xml:space="preserve">  So, the ratio of these </w:t>
      </w:r>
      <w:r>
        <w:rPr>
          <w:rFonts w:ascii="Times New Roman" w:hAnsi="Times New Roman" w:cs="Times New Roman"/>
          <w:sz w:val="24"/>
          <w:szCs w:val="24"/>
          <w:lang w:val="en-US"/>
        </w:rPr>
        <w:t>long-</w:t>
      </w:r>
      <w:r w:rsidR="00AD3361">
        <w:rPr>
          <w:rFonts w:ascii="Times New Roman" w:hAnsi="Times New Roman" w:cs="Times New Roman"/>
          <w:sz w:val="24"/>
          <w:szCs w:val="24"/>
          <w:lang w:val="en-US"/>
        </w:rPr>
        <w:t xml:space="preserve">recovery </w:t>
      </w:r>
      <w:r>
        <w:rPr>
          <w:rFonts w:ascii="Times New Roman" w:hAnsi="Times New Roman" w:cs="Times New Roman"/>
          <w:sz w:val="24"/>
          <w:szCs w:val="24"/>
          <w:lang w:val="en-US"/>
        </w:rPr>
        <w:t xml:space="preserve">covid </w:t>
      </w:r>
      <w:r w:rsidR="008702F9">
        <w:rPr>
          <w:rFonts w:ascii="Times New Roman" w:hAnsi="Times New Roman" w:cs="Times New Roman"/>
          <w:sz w:val="24"/>
          <w:szCs w:val="24"/>
          <w:lang w:val="en-US"/>
        </w:rPr>
        <w:t>cases to deaths is 38.6m*0.1</w:t>
      </w:r>
      <w:r w:rsidR="00AD3361">
        <w:rPr>
          <w:rFonts w:ascii="Times New Roman" w:hAnsi="Times New Roman" w:cs="Times New Roman"/>
          <w:sz w:val="24"/>
          <w:szCs w:val="24"/>
          <w:lang w:val="en-US"/>
        </w:rPr>
        <w:t>33/1.1m = 4.7</w:t>
      </w:r>
      <w:r w:rsidR="008702F9">
        <w:rPr>
          <w:rFonts w:ascii="Times New Roman" w:hAnsi="Times New Roman" w:cs="Times New Roman"/>
          <w:sz w:val="24"/>
          <w:szCs w:val="24"/>
          <w:lang w:val="en-US"/>
        </w:rPr>
        <w:t xml:space="preserve">.  Furthermore, consistent with the figure used earlier for </w:t>
      </w:r>
      <w:r w:rsidR="00052C4D">
        <w:rPr>
          <w:rFonts w:ascii="Times New Roman" w:hAnsi="Times New Roman" w:cs="Times New Roman"/>
          <w:sz w:val="24"/>
          <w:szCs w:val="24"/>
          <w:lang w:val="en-US"/>
        </w:rPr>
        <w:t xml:space="preserve">Covid-19 victims </w:t>
      </w:r>
      <w:r w:rsidR="008702F9">
        <w:rPr>
          <w:rFonts w:ascii="Times New Roman" w:hAnsi="Times New Roman" w:cs="Times New Roman"/>
          <w:sz w:val="24"/>
          <w:szCs w:val="24"/>
          <w:lang w:val="en-US"/>
        </w:rPr>
        <w:t xml:space="preserve">suffering from serious pre-existing conditions, their quality of life is thereby initially reduced by 20%.  Allowing for all this is then equivalent to increasing the QALYs saved from lockdown rather than mitigation </w:t>
      </w:r>
      <w:r w:rsidR="008D363A">
        <w:rPr>
          <w:rFonts w:ascii="Times New Roman" w:hAnsi="Times New Roman" w:cs="Times New Roman"/>
          <w:sz w:val="24"/>
          <w:szCs w:val="24"/>
          <w:lang w:val="en-US"/>
        </w:rPr>
        <w:t xml:space="preserve">by </w:t>
      </w:r>
      <w:r w:rsidR="002C5424">
        <w:rPr>
          <w:rFonts w:ascii="Times New Roman" w:hAnsi="Times New Roman" w:cs="Times New Roman"/>
          <w:sz w:val="24"/>
          <w:szCs w:val="24"/>
          <w:lang w:val="en-US"/>
        </w:rPr>
        <w:t xml:space="preserve">3% </w:t>
      </w:r>
      <w:r w:rsidR="008702F9">
        <w:rPr>
          <w:rFonts w:ascii="Times New Roman" w:hAnsi="Times New Roman" w:cs="Times New Roman"/>
          <w:sz w:val="24"/>
          <w:szCs w:val="24"/>
          <w:lang w:val="en-US"/>
        </w:rPr>
        <w:t>as follows:</w:t>
      </w:r>
    </w:p>
    <w:p w14:paraId="6DE7A928" w14:textId="77777777" w:rsidR="008702F9" w:rsidRDefault="008702F9" w:rsidP="008702F9">
      <w:pPr>
        <w:spacing w:after="0" w:line="360" w:lineRule="auto"/>
        <w:jc w:val="both"/>
        <w:rPr>
          <w:rFonts w:ascii="Times New Roman" w:hAnsi="Times New Roman" w:cs="Times New Roman"/>
          <w:sz w:val="24"/>
          <w:szCs w:val="24"/>
          <w:lang w:val="en-US"/>
        </w:rPr>
      </w:pPr>
    </w:p>
    <w:p w14:paraId="6B514D7A" w14:textId="77777777" w:rsidR="008702F9" w:rsidRDefault="00F13AB0" w:rsidP="008702F9">
      <w:pPr>
        <w:spacing w:after="0" w:line="360" w:lineRule="auto"/>
        <w:jc w:val="both"/>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1(5)(0.8)+4.7(0.133)(0.2)</m:t>
              </m:r>
            </m:num>
            <m:den>
              <m:r>
                <w:rPr>
                  <w:rFonts w:ascii="Cambria Math" w:hAnsi="Cambria Math" w:cs="Times New Roman"/>
                  <w:sz w:val="24"/>
                  <w:szCs w:val="24"/>
                  <w:lang w:val="en-US"/>
                </w:rPr>
                <m:t>1(5)(0.8)</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4.0+0.125</m:t>
              </m:r>
            </m:num>
            <m:den>
              <m:r>
                <w:rPr>
                  <w:rFonts w:ascii="Cambria Math" w:hAnsi="Cambria Math" w:cs="Times New Roman"/>
                  <w:sz w:val="24"/>
                  <w:szCs w:val="24"/>
                  <w:lang w:val="en-US"/>
                </w:rPr>
                <m:t>4.0</m:t>
              </m:r>
            </m:den>
          </m:f>
          <m:r>
            <w:rPr>
              <w:rFonts w:ascii="Cambria Math" w:hAnsi="Cambria Math" w:cs="Times New Roman"/>
              <w:sz w:val="24"/>
              <w:szCs w:val="24"/>
              <w:lang w:val="en-US"/>
            </w:rPr>
            <m:t>=1.03</m:t>
          </m:r>
        </m:oMath>
      </m:oMathPara>
    </w:p>
    <w:p w14:paraId="29163B88" w14:textId="77777777" w:rsidR="008702F9" w:rsidRDefault="008702F9" w:rsidP="008702F9">
      <w:pPr>
        <w:spacing w:after="0" w:line="360" w:lineRule="auto"/>
        <w:jc w:val="both"/>
        <w:rPr>
          <w:rFonts w:ascii="Times New Roman" w:hAnsi="Times New Roman" w:cs="Times New Roman"/>
          <w:sz w:val="24"/>
          <w:szCs w:val="24"/>
          <w:lang w:val="en-US"/>
        </w:rPr>
      </w:pPr>
    </w:p>
    <w:p w14:paraId="54F68DC6" w14:textId="77777777" w:rsidR="008702F9" w:rsidRDefault="008702F9" w:rsidP="00DD5C7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raise</w:t>
      </w:r>
      <w:r w:rsidR="008F52EC">
        <w:rPr>
          <w:rFonts w:ascii="Times New Roman" w:hAnsi="Times New Roman" w:cs="Times New Roman"/>
          <w:sz w:val="24"/>
          <w:szCs w:val="24"/>
          <w:lang w:val="en-US"/>
        </w:rPr>
        <w:t>s the denominator in equation (6</w:t>
      </w:r>
      <w:r>
        <w:rPr>
          <w:rFonts w:ascii="Times New Roman" w:hAnsi="Times New Roman" w:cs="Times New Roman"/>
          <w:sz w:val="24"/>
          <w:szCs w:val="24"/>
          <w:lang w:val="en-US"/>
        </w:rPr>
        <w:t xml:space="preserve">) by a factor of </w:t>
      </w:r>
      <w:r w:rsidR="00AD3361">
        <w:rPr>
          <w:rFonts w:ascii="Times New Roman" w:hAnsi="Times New Roman" w:cs="Times New Roman"/>
          <w:sz w:val="24"/>
          <w:szCs w:val="24"/>
          <w:lang w:val="en-US"/>
        </w:rPr>
        <w:t>1.03</w:t>
      </w:r>
      <w:r>
        <w:rPr>
          <w:rFonts w:ascii="Times New Roman" w:hAnsi="Times New Roman" w:cs="Times New Roman"/>
          <w:sz w:val="24"/>
          <w:szCs w:val="24"/>
          <w:lang w:val="en-US"/>
        </w:rPr>
        <w:t xml:space="preserve">.  There will also be medical costs associated with these </w:t>
      </w:r>
      <w:r w:rsidR="00282D8E">
        <w:rPr>
          <w:rFonts w:ascii="Times New Roman" w:hAnsi="Times New Roman" w:cs="Times New Roman"/>
          <w:sz w:val="24"/>
          <w:szCs w:val="24"/>
          <w:lang w:val="en-US"/>
        </w:rPr>
        <w:t xml:space="preserve">very </w:t>
      </w:r>
      <w:r>
        <w:rPr>
          <w:rFonts w:ascii="Times New Roman" w:hAnsi="Times New Roman" w:cs="Times New Roman"/>
          <w:sz w:val="24"/>
          <w:szCs w:val="24"/>
          <w:lang w:val="en-US"/>
        </w:rPr>
        <w:t xml:space="preserve">long-term sufferers.  For example, if each such person’s </w:t>
      </w:r>
      <w:r w:rsidR="00AD3361">
        <w:rPr>
          <w:rFonts w:ascii="Times New Roman" w:hAnsi="Times New Roman" w:cs="Times New Roman"/>
          <w:sz w:val="24"/>
          <w:szCs w:val="24"/>
          <w:lang w:val="en-US"/>
        </w:rPr>
        <w:t>medical costs average $10</w:t>
      </w:r>
      <w:r>
        <w:rPr>
          <w:rFonts w:ascii="Times New Roman" w:hAnsi="Times New Roman" w:cs="Times New Roman"/>
          <w:sz w:val="24"/>
          <w:szCs w:val="24"/>
          <w:lang w:val="en-US"/>
        </w:rPr>
        <w:t xml:space="preserve">,000 per year </w:t>
      </w:r>
      <w:r w:rsidR="00D61A79">
        <w:rPr>
          <w:rFonts w:ascii="Times New Roman" w:hAnsi="Times New Roman" w:cs="Times New Roman"/>
          <w:sz w:val="24"/>
          <w:szCs w:val="24"/>
          <w:lang w:val="en-US"/>
        </w:rPr>
        <w:t xml:space="preserve">in which symptoms are experienced, </w:t>
      </w:r>
      <w:r w:rsidR="00282D8E">
        <w:rPr>
          <w:rFonts w:ascii="Times New Roman" w:hAnsi="Times New Roman" w:cs="Times New Roman"/>
          <w:sz w:val="24"/>
          <w:szCs w:val="24"/>
          <w:lang w:val="en-US"/>
        </w:rPr>
        <w:t xml:space="preserve">the cost for </w:t>
      </w:r>
      <w:r w:rsidR="004A6568">
        <w:rPr>
          <w:rFonts w:ascii="Times New Roman" w:hAnsi="Times New Roman" w:cs="Times New Roman"/>
          <w:sz w:val="24"/>
          <w:szCs w:val="24"/>
          <w:lang w:val="en-US"/>
        </w:rPr>
        <w:t xml:space="preserve">85,000 survivors (18,000 victims*4.7) </w:t>
      </w:r>
      <w:r w:rsidR="00AD3361">
        <w:rPr>
          <w:rFonts w:ascii="Times New Roman" w:hAnsi="Times New Roman" w:cs="Times New Roman"/>
          <w:sz w:val="24"/>
          <w:szCs w:val="24"/>
          <w:lang w:val="en-US"/>
        </w:rPr>
        <w:t>for 0.16</w:t>
      </w:r>
      <w:r w:rsidR="00ED007D">
        <w:rPr>
          <w:rFonts w:ascii="Times New Roman" w:hAnsi="Times New Roman" w:cs="Times New Roman"/>
          <w:sz w:val="24"/>
          <w:szCs w:val="24"/>
          <w:lang w:val="en-US"/>
        </w:rPr>
        <w:t xml:space="preserve"> years </w:t>
      </w:r>
      <w:r w:rsidR="00423F8D">
        <w:rPr>
          <w:rFonts w:ascii="Times New Roman" w:hAnsi="Times New Roman" w:cs="Times New Roman"/>
          <w:sz w:val="24"/>
          <w:szCs w:val="24"/>
          <w:lang w:val="en-US"/>
        </w:rPr>
        <w:t xml:space="preserve">on average </w:t>
      </w:r>
      <w:r w:rsidR="00ED007D">
        <w:rPr>
          <w:rFonts w:ascii="Times New Roman" w:hAnsi="Times New Roman" w:cs="Times New Roman"/>
          <w:sz w:val="24"/>
          <w:szCs w:val="24"/>
          <w:lang w:val="en-US"/>
        </w:rPr>
        <w:t>is $</w:t>
      </w:r>
      <w:r w:rsidR="00AD3361">
        <w:rPr>
          <w:rFonts w:ascii="Times New Roman" w:hAnsi="Times New Roman" w:cs="Times New Roman"/>
          <w:sz w:val="24"/>
          <w:szCs w:val="24"/>
          <w:lang w:val="en-US"/>
        </w:rPr>
        <w:t xml:space="preserve">135m.  Both </w:t>
      </w:r>
      <w:r w:rsidR="003C04B4">
        <w:rPr>
          <w:rFonts w:ascii="Times New Roman" w:hAnsi="Times New Roman" w:cs="Times New Roman"/>
          <w:sz w:val="24"/>
          <w:szCs w:val="24"/>
          <w:lang w:val="en-US"/>
        </w:rPr>
        <w:t xml:space="preserve">the denominator adjustment of 1.03 and the numerator addition of $135m are </w:t>
      </w:r>
      <w:r w:rsidR="00AD3361">
        <w:rPr>
          <w:rFonts w:ascii="Times New Roman" w:hAnsi="Times New Roman" w:cs="Times New Roman"/>
          <w:sz w:val="24"/>
          <w:szCs w:val="24"/>
          <w:lang w:val="en-US"/>
        </w:rPr>
        <w:t xml:space="preserve">too small to warrant </w:t>
      </w:r>
      <w:r w:rsidR="00DD5C77">
        <w:rPr>
          <w:rFonts w:ascii="Times New Roman" w:hAnsi="Times New Roman" w:cs="Times New Roman"/>
          <w:sz w:val="24"/>
          <w:szCs w:val="24"/>
          <w:lang w:val="en-US"/>
        </w:rPr>
        <w:t xml:space="preserve">inclusion, and alternative </w:t>
      </w:r>
      <w:r w:rsidR="003C04B4">
        <w:rPr>
          <w:rFonts w:ascii="Times New Roman" w:hAnsi="Times New Roman" w:cs="Times New Roman"/>
          <w:sz w:val="24"/>
          <w:szCs w:val="24"/>
          <w:lang w:val="en-US"/>
        </w:rPr>
        <w:t xml:space="preserve">(reasonable) </w:t>
      </w:r>
      <w:r w:rsidR="00DD5C77">
        <w:rPr>
          <w:rFonts w:ascii="Times New Roman" w:hAnsi="Times New Roman" w:cs="Times New Roman"/>
          <w:sz w:val="24"/>
          <w:szCs w:val="24"/>
          <w:lang w:val="en-US"/>
        </w:rPr>
        <w:t xml:space="preserve">assumptions about the time profile of the </w:t>
      </w:r>
      <w:r w:rsidR="003C04B4">
        <w:rPr>
          <w:rFonts w:ascii="Times New Roman" w:hAnsi="Times New Roman" w:cs="Times New Roman"/>
          <w:sz w:val="24"/>
          <w:szCs w:val="24"/>
          <w:lang w:val="en-US"/>
        </w:rPr>
        <w:t xml:space="preserve">resolution of these </w:t>
      </w:r>
      <w:r w:rsidR="00DD5C77">
        <w:rPr>
          <w:rFonts w:ascii="Times New Roman" w:hAnsi="Times New Roman" w:cs="Times New Roman"/>
          <w:sz w:val="24"/>
          <w:szCs w:val="24"/>
          <w:lang w:val="en-US"/>
        </w:rPr>
        <w:t xml:space="preserve">cases and the cost per year per patient do not change this conclusion.  </w:t>
      </w:r>
    </w:p>
    <w:p w14:paraId="11A9B5B5" w14:textId="77777777" w:rsidR="00DD5C77" w:rsidRDefault="00DD5C77" w:rsidP="00DD5C77">
      <w:pPr>
        <w:spacing w:after="0" w:line="360" w:lineRule="auto"/>
        <w:jc w:val="both"/>
        <w:rPr>
          <w:rFonts w:ascii="Times New Roman" w:hAnsi="Times New Roman" w:cs="Times New Roman"/>
          <w:sz w:val="24"/>
          <w:szCs w:val="24"/>
          <w:lang w:val="en-US"/>
        </w:rPr>
      </w:pPr>
    </w:p>
    <w:p w14:paraId="36AC8CE3"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Thirdly, mitigation gives rise to work absences amongst those who are infected and must self-isolate.  Gros (2020, section 2.1) assumes all members of a population are infected, 30% </w:t>
      </w:r>
      <w:r>
        <w:rPr>
          <w:rFonts w:ascii="Times New Roman" w:hAnsi="Times New Roman" w:cs="Times New Roman"/>
          <w:sz w:val="24"/>
          <w:szCs w:val="24"/>
          <w:lang w:val="en-US"/>
        </w:rPr>
        <w:lastRenderedPageBreak/>
        <w:t>require a work absence of four weeks and a further 20% require six weeks, leading to a GDP loss of 5% of one year’s GDP:</w:t>
      </w:r>
    </w:p>
    <w:p w14:paraId="14A5B9C8" w14:textId="77777777" w:rsidR="008702F9" w:rsidRDefault="008702F9"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.30</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4</m:t>
                  </m:r>
                </m:num>
                <m:den>
                  <m:r>
                    <w:rPr>
                      <w:rFonts w:ascii="Cambria Math" w:hAnsi="Cambria Math" w:cs="Times New Roman"/>
                      <w:sz w:val="24"/>
                      <w:szCs w:val="24"/>
                      <w:lang w:val="en-US"/>
                    </w:rPr>
                    <m:t>52</m:t>
                  </m:r>
                </m:den>
              </m:f>
            </m:e>
          </m:d>
          <m:r>
            <w:rPr>
              <w:rFonts w:ascii="Cambria Math" w:hAnsi="Cambria Math" w:cs="Times New Roman"/>
              <w:sz w:val="24"/>
              <w:szCs w:val="24"/>
              <w:lang w:val="en-US"/>
            </w:rPr>
            <m:t>+.20</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6</m:t>
                  </m:r>
                </m:num>
                <m:den>
                  <m:r>
                    <w:rPr>
                      <w:rFonts w:ascii="Cambria Math" w:hAnsi="Cambria Math" w:cs="Times New Roman"/>
                      <w:sz w:val="24"/>
                      <w:szCs w:val="24"/>
                      <w:lang w:val="en-US"/>
                    </w:rPr>
                    <m:t>52</m:t>
                  </m:r>
                </m:den>
              </m:f>
            </m:e>
          </m:d>
          <m:r>
            <w:rPr>
              <w:rFonts w:ascii="Cambria Math" w:hAnsi="Cambria Math" w:cs="Times New Roman"/>
              <w:sz w:val="24"/>
              <w:szCs w:val="24"/>
              <w:lang w:val="en-US"/>
            </w:rPr>
            <m:t>=.05</m:t>
          </m:r>
        </m:oMath>
      </m:oMathPara>
    </w:p>
    <w:p w14:paraId="34D4F4EA" w14:textId="77777777" w:rsidR="008702F9" w:rsidRDefault="008702F9" w:rsidP="008702F9">
      <w:pPr>
        <w:spacing w:after="0" w:line="360" w:lineRule="auto"/>
        <w:jc w:val="both"/>
        <w:rPr>
          <w:rFonts w:ascii="Times New Roman" w:hAnsi="Times New Roman" w:cs="Times New Roman"/>
          <w:sz w:val="24"/>
          <w:szCs w:val="24"/>
          <w:lang w:val="en-US"/>
        </w:rPr>
      </w:pPr>
    </w:p>
    <w:p w14:paraId="68C484E1"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assumption that everyone in a population would become infected is excessive.  As noted previously, Blakely </w:t>
      </w:r>
      <w:r w:rsidR="0009069C">
        <w:rPr>
          <w:rFonts w:ascii="Times New Roman" w:hAnsi="Times New Roman" w:cs="Times New Roman"/>
          <w:sz w:val="24"/>
          <w:szCs w:val="24"/>
          <w:lang w:val="en-US"/>
        </w:rPr>
        <w:t xml:space="preserve">and Wilson </w:t>
      </w:r>
      <w:r>
        <w:rPr>
          <w:rFonts w:ascii="Times New Roman" w:hAnsi="Times New Roman" w:cs="Times New Roman"/>
          <w:sz w:val="24"/>
          <w:szCs w:val="24"/>
          <w:lang w:val="en-US"/>
        </w:rPr>
        <w:t>(2020) estimate that the infection rate would not exceed 60% because the epidemic would by then peter out through herd immunity, Boyd (2020, page 3) adopts a base case of 40% based upon past pandemics, and Aguas et al (2020) estimates an even lower rate.  Furthermore, even if Gros’s estimate of 50% of those infected requiring a work absence were correct, this does not yield a proportionate decline in GDP for various reasons.  In particular, many of the people required to isolate could still perform their work from home.  Furthermore, even where those isolated could not thereby perform their tasks for this period of weeks, other employees of the organization would increase their productivity or hours of work to at least partly compensate, and/or customers of the businesses would experience longer wait times with no loss of output, and/or the absent employees would be able to perform at least some of the work upon their return in addition to their normal workloads.  Accordingly, a more reasonable estimate of the GDP loss than Gros’s would involve 40% of the population being infected, and 30% of those requiring isolation able to still perform their jobs at home, and 75% of the rest having their work performed by others or by them upon their return to work or addressed through longer customer queues.  The resulting GDP loss would then be only 5%*0.4*0.7*0.25 = 0.35% rather than 5% of one year’s GD</w:t>
      </w:r>
      <w:r w:rsidR="00CE4BC2">
        <w:rPr>
          <w:rFonts w:ascii="Times New Roman" w:hAnsi="Times New Roman" w:cs="Times New Roman"/>
          <w:sz w:val="24"/>
          <w:szCs w:val="24"/>
          <w:lang w:val="en-US"/>
        </w:rPr>
        <w:t>P.  In dollar terms this is $</w:t>
      </w:r>
      <w:r w:rsidR="00FE611E">
        <w:rPr>
          <w:rFonts w:ascii="Times New Roman" w:hAnsi="Times New Roman" w:cs="Times New Roman"/>
          <w:sz w:val="24"/>
          <w:szCs w:val="24"/>
          <w:lang w:val="en-US"/>
        </w:rPr>
        <w:t>1,95</w:t>
      </w:r>
      <w:r w:rsidR="00CE4BC2">
        <w:rPr>
          <w:rFonts w:ascii="Times New Roman" w:hAnsi="Times New Roman" w:cs="Times New Roman"/>
          <w:sz w:val="24"/>
          <w:szCs w:val="24"/>
          <w:lang w:val="en-US"/>
        </w:rPr>
        <w:t>0b*0.0035 = $</w:t>
      </w:r>
      <w:r w:rsidR="00FE611E">
        <w:rPr>
          <w:rFonts w:ascii="Times New Roman" w:hAnsi="Times New Roman" w:cs="Times New Roman"/>
          <w:sz w:val="24"/>
          <w:szCs w:val="24"/>
          <w:lang w:val="en-US"/>
        </w:rPr>
        <w:t>6.8</w:t>
      </w:r>
      <w:r>
        <w:rPr>
          <w:rFonts w:ascii="Times New Roman" w:hAnsi="Times New Roman" w:cs="Times New Roman"/>
          <w:sz w:val="24"/>
          <w:szCs w:val="24"/>
          <w:lang w:val="en-US"/>
        </w:rPr>
        <w:t>b.  Modifying equation</w:t>
      </w:r>
      <w:r w:rsidR="00AC2C97">
        <w:rPr>
          <w:rFonts w:ascii="Times New Roman" w:hAnsi="Times New Roman" w:cs="Times New Roman"/>
          <w:sz w:val="24"/>
          <w:szCs w:val="24"/>
          <w:lang w:val="en-US"/>
        </w:rPr>
        <w:t xml:space="preserve"> (6)</w:t>
      </w:r>
      <w:r>
        <w:rPr>
          <w:rFonts w:ascii="Times New Roman" w:hAnsi="Times New Roman" w:cs="Times New Roman"/>
          <w:sz w:val="24"/>
          <w:szCs w:val="24"/>
          <w:lang w:val="en-US"/>
        </w:rPr>
        <w:t>, the cost per QALY saved would be at least as follows:</w:t>
      </w:r>
    </w:p>
    <w:p w14:paraId="562A9DB4" w14:textId="77777777" w:rsidR="008702F9" w:rsidRDefault="008702F9" w:rsidP="008702F9">
      <w:pPr>
        <w:spacing w:after="0" w:line="360" w:lineRule="auto"/>
        <w:jc w:val="both"/>
        <w:rPr>
          <w:rFonts w:ascii="Times New Roman" w:hAnsi="Times New Roman" w:cs="Times New Roman"/>
          <w:sz w:val="24"/>
          <w:szCs w:val="24"/>
          <w:lang w:val="en-US"/>
        </w:rPr>
      </w:pPr>
    </w:p>
    <w:p w14:paraId="3BF0E6CC" w14:textId="77777777" w:rsidR="008702F9" w:rsidRDefault="008702F9"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$160b-$6.8b-N$4.2</m:t>
              </m:r>
            </m:num>
            <m:den>
              <m:r>
                <w:rPr>
                  <w:rFonts w:ascii="Cambria Math" w:hAnsi="Cambria Math" w:cs="Times New Roman"/>
                  <w:sz w:val="24"/>
                  <w:szCs w:val="24"/>
                  <w:lang w:val="en-US"/>
                </w:rPr>
                <m:t>68,000N</m:t>
              </m:r>
            </m:den>
          </m:f>
          <m:r>
            <w:rPr>
              <w:rFonts w:ascii="Cambria Math" w:hAnsi="Cambria Math" w:cs="Times New Roman"/>
              <w:sz w:val="24"/>
              <w:szCs w:val="24"/>
              <w:lang w:val="en-US"/>
            </w:rPr>
            <m:t xml:space="preserve">                                                    (7)</m:t>
          </m:r>
        </m:oMath>
      </m:oMathPara>
    </w:p>
    <w:p w14:paraId="23D2E2DF" w14:textId="77777777" w:rsidR="008702F9" w:rsidRDefault="008702F9" w:rsidP="008702F9">
      <w:pPr>
        <w:spacing w:after="0" w:line="360" w:lineRule="auto"/>
        <w:jc w:val="center"/>
        <w:rPr>
          <w:rFonts w:ascii="Times New Roman" w:hAnsi="Times New Roman" w:cs="Times New Roman"/>
          <w:sz w:val="24"/>
          <w:szCs w:val="24"/>
          <w:lang w:val="en-US"/>
        </w:rPr>
      </w:pPr>
    </w:p>
    <w:p w14:paraId="6C5658C7" w14:textId="77777777" w:rsidR="00244834" w:rsidRDefault="00244834"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figure is too low for </w:t>
      </w:r>
      <w:r w:rsidR="00805FC8">
        <w:rPr>
          <w:rFonts w:ascii="Times New Roman" w:hAnsi="Times New Roman" w:cs="Times New Roman"/>
          <w:sz w:val="24"/>
          <w:szCs w:val="24"/>
          <w:lang w:val="en-US"/>
        </w:rPr>
        <w:t xml:space="preserve">three </w:t>
      </w:r>
      <w:r>
        <w:rPr>
          <w:rFonts w:ascii="Times New Roman" w:hAnsi="Times New Roman" w:cs="Times New Roman"/>
          <w:sz w:val="24"/>
          <w:szCs w:val="24"/>
          <w:lang w:val="en-US"/>
        </w:rPr>
        <w:t>principal reasons.  Firstly, the estimate of 68,000 QALYs saved by locking down is likely to be too high because it uses the highest estimate of additional deaths from locking down</w:t>
      </w:r>
      <w:r w:rsidR="00805FC8">
        <w:rPr>
          <w:rFonts w:ascii="Times New Roman" w:hAnsi="Times New Roman" w:cs="Times New Roman"/>
          <w:sz w:val="24"/>
          <w:szCs w:val="24"/>
          <w:lang w:val="en-US"/>
        </w:rPr>
        <w:t xml:space="preserve"> (from the European data)</w:t>
      </w:r>
      <w:r w:rsidR="00FF4616">
        <w:rPr>
          <w:rFonts w:ascii="Times New Roman" w:hAnsi="Times New Roman" w:cs="Times New Roman"/>
          <w:sz w:val="24"/>
          <w:szCs w:val="24"/>
          <w:lang w:val="en-US"/>
        </w:rPr>
        <w:t>.  Secondly, the estimate of $16</w:t>
      </w:r>
      <w:r w:rsidR="00805FC8">
        <w:rPr>
          <w:rFonts w:ascii="Times New Roman" w:hAnsi="Times New Roman" w:cs="Times New Roman"/>
          <w:sz w:val="24"/>
          <w:szCs w:val="24"/>
          <w:lang w:val="en-US"/>
        </w:rPr>
        <w:t>0b for the GDP losses from the lockdowns is too low be</w:t>
      </w:r>
      <w:r w:rsidR="00CA557C">
        <w:rPr>
          <w:rFonts w:ascii="Times New Roman" w:hAnsi="Times New Roman" w:cs="Times New Roman"/>
          <w:sz w:val="24"/>
          <w:szCs w:val="24"/>
          <w:lang w:val="en-US"/>
        </w:rPr>
        <w:t>cause the two real GDP forecast</w:t>
      </w:r>
      <w:r w:rsidR="00805FC8">
        <w:rPr>
          <w:rFonts w:ascii="Times New Roman" w:hAnsi="Times New Roman" w:cs="Times New Roman"/>
          <w:sz w:val="24"/>
          <w:szCs w:val="24"/>
          <w:lang w:val="en-US"/>
        </w:rPr>
        <w:t xml:space="preserve"> paths in Table 2 have not converged over </w:t>
      </w:r>
      <w:r w:rsidR="00126CC2">
        <w:rPr>
          <w:rFonts w:ascii="Times New Roman" w:hAnsi="Times New Roman" w:cs="Times New Roman"/>
          <w:sz w:val="24"/>
          <w:szCs w:val="24"/>
          <w:lang w:val="en-US"/>
        </w:rPr>
        <w:t xml:space="preserve">the period for </w:t>
      </w:r>
      <w:r w:rsidR="00805FC8">
        <w:rPr>
          <w:rFonts w:ascii="Times New Roman" w:hAnsi="Times New Roman" w:cs="Times New Roman"/>
          <w:sz w:val="24"/>
          <w:szCs w:val="24"/>
          <w:lang w:val="en-US"/>
        </w:rPr>
        <w:t>which the forecasts are available</w:t>
      </w:r>
      <w:r w:rsidR="00126CC2">
        <w:rPr>
          <w:rFonts w:ascii="Times New Roman" w:hAnsi="Times New Roman" w:cs="Times New Roman"/>
          <w:sz w:val="24"/>
          <w:szCs w:val="24"/>
          <w:lang w:val="en-US"/>
        </w:rPr>
        <w:t xml:space="preserve"> (out to </w:t>
      </w:r>
      <w:proofErr w:type="spellStart"/>
      <w:r w:rsidR="00126CC2">
        <w:rPr>
          <w:rFonts w:ascii="Times New Roman" w:hAnsi="Times New Roman" w:cs="Times New Roman"/>
          <w:sz w:val="24"/>
          <w:szCs w:val="24"/>
          <w:lang w:val="en-US"/>
        </w:rPr>
        <w:t>mid 2024</w:t>
      </w:r>
      <w:proofErr w:type="spellEnd"/>
      <w:r w:rsidR="00126CC2">
        <w:rPr>
          <w:rFonts w:ascii="Times New Roman" w:hAnsi="Times New Roman" w:cs="Times New Roman"/>
          <w:sz w:val="24"/>
          <w:szCs w:val="24"/>
          <w:lang w:val="en-US"/>
        </w:rPr>
        <w:t>)</w:t>
      </w:r>
      <w:r w:rsidR="00805FC8">
        <w:rPr>
          <w:rFonts w:ascii="Times New Roman" w:hAnsi="Times New Roman" w:cs="Times New Roman"/>
          <w:sz w:val="24"/>
          <w:szCs w:val="24"/>
          <w:lang w:val="en-US"/>
        </w:rPr>
        <w:t xml:space="preserve">.  </w:t>
      </w:r>
    </w:p>
    <w:p w14:paraId="4798CD58" w14:textId="77777777" w:rsidR="00951034" w:rsidRDefault="00951034" w:rsidP="008702F9">
      <w:pPr>
        <w:spacing w:after="0" w:line="360" w:lineRule="auto"/>
        <w:jc w:val="both"/>
        <w:rPr>
          <w:rFonts w:ascii="Times New Roman" w:hAnsi="Times New Roman" w:cs="Times New Roman"/>
          <w:sz w:val="24"/>
          <w:szCs w:val="24"/>
          <w:lang w:val="en-US"/>
        </w:rPr>
      </w:pPr>
    </w:p>
    <w:p w14:paraId="4C0A76F8" w14:textId="77777777" w:rsidR="00951034" w:rsidRDefault="00951034" w:rsidP="0095103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Thirdly, no allowance has been made for various phenomena that would raise the costs of lockdowns but cannot readily be quantified: problems arising from the increased unemployment (addiction, crime, domestic violence, mental health problems, and premature death), </w:t>
      </w:r>
      <w:r w:rsidR="0007169F">
        <w:rPr>
          <w:rFonts w:ascii="Times New Roman" w:hAnsi="Times New Roman" w:cs="Times New Roman"/>
          <w:sz w:val="24"/>
          <w:szCs w:val="24"/>
          <w:lang w:val="en-US"/>
        </w:rPr>
        <w:t>loss of social interactions</w:t>
      </w:r>
      <w:r w:rsidR="00192660">
        <w:rPr>
          <w:rFonts w:ascii="Times New Roman" w:hAnsi="Times New Roman" w:cs="Times New Roman"/>
          <w:sz w:val="24"/>
          <w:szCs w:val="24"/>
          <w:lang w:val="en-US"/>
        </w:rPr>
        <w:t xml:space="preserve">, </w:t>
      </w:r>
      <w:r w:rsidR="0007169F">
        <w:rPr>
          <w:rFonts w:ascii="Times New Roman" w:hAnsi="Times New Roman" w:cs="Times New Roman"/>
          <w:sz w:val="24"/>
          <w:szCs w:val="24"/>
          <w:lang w:val="en-US"/>
        </w:rPr>
        <w:t xml:space="preserve">increased anxiety, </w:t>
      </w:r>
      <w:r>
        <w:rPr>
          <w:rFonts w:ascii="Times New Roman" w:hAnsi="Times New Roman" w:cs="Times New Roman"/>
          <w:sz w:val="24"/>
          <w:szCs w:val="24"/>
          <w:lang w:val="en-US"/>
        </w:rPr>
        <w:t xml:space="preserve">disruption to the education of the Covid-19 student cohort, and the deprival of liberties that people would otherwise enjoy.  Lockdowns also disrupt the normal operation of the health care system, leading to deaths that would not otherwise occur (such as people who fail to have cancer screening tests done), but failure to lockdown may also saturate the system with covid-19 cases, leading to deaths amongst other types of patients who have been crowded out.  The net effect of this point is very unclear, because it depends inter alia on how quickly a society expands its health care system to accommodate the increased caseload, but the net </w:t>
      </w:r>
      <w:r w:rsidR="003105D3">
        <w:rPr>
          <w:rFonts w:ascii="Times New Roman" w:hAnsi="Times New Roman" w:cs="Times New Roman"/>
          <w:sz w:val="24"/>
          <w:szCs w:val="24"/>
          <w:lang w:val="en-US"/>
        </w:rPr>
        <w:t xml:space="preserve">short-term </w:t>
      </w:r>
      <w:r>
        <w:rPr>
          <w:rFonts w:ascii="Times New Roman" w:hAnsi="Times New Roman" w:cs="Times New Roman"/>
          <w:sz w:val="24"/>
          <w:szCs w:val="24"/>
          <w:lang w:val="en-US"/>
        </w:rPr>
        <w:t>effect is likely to be small because the deaths attributed to covid-19 approximate the excess deaths relative to pre-pandemic forecasts (as discussed in section 2.1).</w:t>
      </w:r>
    </w:p>
    <w:p w14:paraId="4882E54E" w14:textId="77777777" w:rsidR="00951034" w:rsidRDefault="00951034" w:rsidP="008702F9">
      <w:pPr>
        <w:spacing w:after="0" w:line="360" w:lineRule="auto"/>
        <w:jc w:val="both"/>
        <w:rPr>
          <w:rFonts w:ascii="Times New Roman" w:hAnsi="Times New Roman" w:cs="Times New Roman"/>
          <w:sz w:val="24"/>
          <w:szCs w:val="24"/>
          <w:lang w:val="en-US"/>
        </w:rPr>
      </w:pPr>
    </w:p>
    <w:p w14:paraId="60A3B9AD" w14:textId="77777777" w:rsidR="00C1321D" w:rsidRDefault="0007169F" w:rsidP="00C1321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Foster (2020) attempts to quantify the adverse psychological impact </w:t>
      </w:r>
      <w:r w:rsidR="00466B37">
        <w:rPr>
          <w:rFonts w:ascii="Times New Roman" w:hAnsi="Times New Roman" w:cs="Times New Roman"/>
          <w:sz w:val="24"/>
          <w:szCs w:val="24"/>
          <w:lang w:val="en-US"/>
        </w:rPr>
        <w:t xml:space="preserve">of lockdowns </w:t>
      </w:r>
      <w:r>
        <w:rPr>
          <w:rFonts w:ascii="Times New Roman" w:hAnsi="Times New Roman" w:cs="Times New Roman"/>
          <w:sz w:val="24"/>
          <w:szCs w:val="24"/>
          <w:lang w:val="en-US"/>
        </w:rPr>
        <w:t xml:space="preserve">on the average Australia, and concludes that it dominates all other considerations.  </w:t>
      </w:r>
      <w:r w:rsidR="00466B37">
        <w:rPr>
          <w:rFonts w:ascii="Times New Roman" w:hAnsi="Times New Roman" w:cs="Times New Roman"/>
          <w:sz w:val="24"/>
          <w:szCs w:val="24"/>
          <w:lang w:val="en-US"/>
        </w:rPr>
        <w:t xml:space="preserve">The estimates are inherently subjective.  </w:t>
      </w:r>
      <w:r w:rsidR="00633BCB">
        <w:rPr>
          <w:rFonts w:ascii="Times New Roman" w:hAnsi="Times New Roman" w:cs="Times New Roman"/>
          <w:sz w:val="24"/>
          <w:szCs w:val="24"/>
          <w:lang w:val="en-US"/>
        </w:rPr>
        <w:t xml:space="preserve">Nevertheless, to </w:t>
      </w:r>
      <w:r w:rsidR="005D09F0">
        <w:rPr>
          <w:rFonts w:ascii="Times New Roman" w:hAnsi="Times New Roman" w:cs="Times New Roman"/>
          <w:sz w:val="24"/>
          <w:szCs w:val="24"/>
          <w:lang w:val="en-US"/>
        </w:rPr>
        <w:t xml:space="preserve">illustrate their importance, I consider the </w:t>
      </w:r>
      <w:r w:rsidR="00E60F13">
        <w:rPr>
          <w:rFonts w:ascii="Times New Roman" w:hAnsi="Times New Roman" w:cs="Times New Roman"/>
          <w:sz w:val="24"/>
          <w:szCs w:val="24"/>
          <w:lang w:val="en-US"/>
        </w:rPr>
        <w:t xml:space="preserve">psychological effect </w:t>
      </w:r>
      <w:r w:rsidR="005D09F0">
        <w:rPr>
          <w:rFonts w:ascii="Times New Roman" w:hAnsi="Times New Roman" w:cs="Times New Roman"/>
          <w:sz w:val="24"/>
          <w:szCs w:val="24"/>
          <w:lang w:val="en-US"/>
        </w:rPr>
        <w:t>of unemployment on the unemployed during the period of unemployment</w:t>
      </w:r>
      <w:r w:rsidR="00951034">
        <w:rPr>
          <w:rFonts w:ascii="Times New Roman" w:hAnsi="Times New Roman" w:cs="Times New Roman"/>
          <w:sz w:val="24"/>
          <w:szCs w:val="24"/>
          <w:lang w:val="en-US"/>
        </w:rPr>
        <w:t xml:space="preserve">.  Table 3 shows forecast growth rates for </w:t>
      </w:r>
      <w:r w:rsidR="00B76BC7">
        <w:rPr>
          <w:rFonts w:ascii="Times New Roman" w:hAnsi="Times New Roman" w:cs="Times New Roman"/>
          <w:sz w:val="24"/>
          <w:szCs w:val="24"/>
          <w:lang w:val="en-US"/>
        </w:rPr>
        <w:t xml:space="preserve">the Labour Force </w:t>
      </w:r>
      <w:r w:rsidR="00951034">
        <w:rPr>
          <w:rFonts w:ascii="Times New Roman" w:hAnsi="Times New Roman" w:cs="Times New Roman"/>
          <w:sz w:val="24"/>
          <w:szCs w:val="24"/>
          <w:lang w:val="en-US"/>
        </w:rPr>
        <w:t>in December 2019</w:t>
      </w:r>
      <w:r w:rsidR="00B76BC7">
        <w:rPr>
          <w:rFonts w:ascii="Times New Roman" w:hAnsi="Times New Roman" w:cs="Times New Roman"/>
          <w:sz w:val="24"/>
          <w:szCs w:val="24"/>
          <w:lang w:val="en-US"/>
        </w:rPr>
        <w:t xml:space="preserve"> (</w:t>
      </w:r>
      <w:r w:rsidR="00951034">
        <w:rPr>
          <w:rFonts w:ascii="Times New Roman" w:hAnsi="Times New Roman" w:cs="Times New Roman"/>
          <w:sz w:val="24"/>
          <w:szCs w:val="24"/>
          <w:lang w:val="en-US"/>
        </w:rPr>
        <w:t xml:space="preserve">Australian Treasury (2019, Table 1.2) </w:t>
      </w:r>
      <w:r w:rsidR="00B76BC7">
        <w:rPr>
          <w:rFonts w:ascii="Times New Roman" w:hAnsi="Times New Roman" w:cs="Times New Roman"/>
          <w:sz w:val="24"/>
          <w:szCs w:val="24"/>
          <w:lang w:val="en-US"/>
        </w:rPr>
        <w:t>and in December 2020 (Australian Treasury, 2020, Table 1.1).</w:t>
      </w:r>
      <w:r w:rsidR="00951034">
        <w:rPr>
          <w:rStyle w:val="FootnoteReference"/>
          <w:rFonts w:ascii="Times New Roman" w:hAnsi="Times New Roman" w:cs="Times New Roman"/>
          <w:sz w:val="24"/>
          <w:szCs w:val="24"/>
          <w:lang w:val="en-US"/>
        </w:rPr>
        <w:footnoteReference w:id="22"/>
      </w:r>
      <w:r w:rsidR="00C1321D">
        <w:rPr>
          <w:rFonts w:ascii="Times New Roman" w:hAnsi="Times New Roman" w:cs="Times New Roman"/>
          <w:sz w:val="24"/>
          <w:szCs w:val="24"/>
          <w:lang w:val="en-US"/>
        </w:rPr>
        <w:t xml:space="preserve">  Arbitrarily designating the 2018-19 Labour Force as 100, the Labour Force results are shown under each forecast path, and the shortfall for each year shown in the last row, which aggregates to 21.8, i.e., 21.8% of Australia’s 2018-19 Labour Force.  Since Australia’s 2018-19 Labour Force was 12.9m, this is the equivalent of 2.8m unemployed for one year.</w:t>
      </w:r>
      <w:r w:rsidR="00C1321D">
        <w:rPr>
          <w:rStyle w:val="FootnoteReference"/>
          <w:rFonts w:ascii="Times New Roman" w:hAnsi="Times New Roman" w:cs="Times New Roman"/>
          <w:sz w:val="24"/>
          <w:szCs w:val="24"/>
          <w:lang w:val="en-US"/>
        </w:rPr>
        <w:footnoteReference w:id="23"/>
      </w:r>
      <w:r w:rsidR="00C1321D">
        <w:rPr>
          <w:rFonts w:ascii="Times New Roman" w:hAnsi="Times New Roman" w:cs="Times New Roman"/>
          <w:sz w:val="24"/>
          <w:szCs w:val="24"/>
          <w:lang w:val="en-US"/>
        </w:rPr>
        <w:t xml:space="preserve">  This estimate is conservative because the two Labour Force forecast paths in Table 3 have not converged over the period for which the forecasts are available (out to </w:t>
      </w:r>
      <w:proofErr w:type="spellStart"/>
      <w:r w:rsidR="00C1321D">
        <w:rPr>
          <w:rFonts w:ascii="Times New Roman" w:hAnsi="Times New Roman" w:cs="Times New Roman"/>
          <w:sz w:val="24"/>
          <w:szCs w:val="24"/>
          <w:lang w:val="en-US"/>
        </w:rPr>
        <w:t>mid 2024</w:t>
      </w:r>
      <w:proofErr w:type="spellEnd"/>
      <w:r w:rsidR="00C1321D">
        <w:rPr>
          <w:rFonts w:ascii="Times New Roman" w:hAnsi="Times New Roman" w:cs="Times New Roman"/>
          <w:sz w:val="24"/>
          <w:szCs w:val="24"/>
          <w:lang w:val="en-US"/>
        </w:rPr>
        <w:t xml:space="preserve">).  </w:t>
      </w:r>
    </w:p>
    <w:p w14:paraId="0417019C" w14:textId="77777777" w:rsidR="00A40B3B" w:rsidRDefault="00A40B3B" w:rsidP="00951034">
      <w:pPr>
        <w:spacing w:after="0" w:line="360" w:lineRule="auto"/>
        <w:jc w:val="both"/>
        <w:rPr>
          <w:rFonts w:ascii="Times New Roman" w:hAnsi="Times New Roman" w:cs="Times New Roman"/>
          <w:sz w:val="24"/>
          <w:szCs w:val="24"/>
          <w:lang w:val="en-US"/>
        </w:rPr>
      </w:pPr>
    </w:p>
    <w:p w14:paraId="01A57666" w14:textId="77777777" w:rsidR="00A40B3B" w:rsidRDefault="00A40B3B" w:rsidP="00951034">
      <w:pPr>
        <w:spacing w:after="0" w:line="360" w:lineRule="auto"/>
        <w:jc w:val="both"/>
        <w:rPr>
          <w:rFonts w:ascii="Times New Roman" w:hAnsi="Times New Roman" w:cs="Times New Roman"/>
          <w:sz w:val="24"/>
          <w:szCs w:val="24"/>
          <w:lang w:val="en-US"/>
        </w:rPr>
      </w:pPr>
    </w:p>
    <w:p w14:paraId="43BBC76C" w14:textId="77777777" w:rsidR="00951034" w:rsidRDefault="00951034" w:rsidP="0095103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3: Employment Forecasts</w:t>
      </w:r>
    </w:p>
    <w:p w14:paraId="15DE660F" w14:textId="77777777" w:rsidR="00951034" w:rsidRDefault="00951034" w:rsidP="0095103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0FFE1B01" w14:textId="77777777" w:rsidR="00951034" w:rsidRDefault="00951034" w:rsidP="00951034">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19-20</w:t>
      </w:r>
      <w:r>
        <w:rPr>
          <w:rFonts w:ascii="Times New Roman" w:hAnsi="Times New Roman" w:cs="Times New Roman"/>
          <w:sz w:val="24"/>
          <w:szCs w:val="24"/>
          <w:lang w:val="en-US"/>
        </w:rPr>
        <w:tab/>
        <w:t>20-21</w:t>
      </w:r>
      <w:r>
        <w:rPr>
          <w:rFonts w:ascii="Times New Roman" w:hAnsi="Times New Roman" w:cs="Times New Roman"/>
          <w:sz w:val="24"/>
          <w:szCs w:val="24"/>
          <w:lang w:val="en-US"/>
        </w:rPr>
        <w:tab/>
        <w:t>21-22</w:t>
      </w:r>
      <w:r>
        <w:rPr>
          <w:rFonts w:ascii="Times New Roman" w:hAnsi="Times New Roman" w:cs="Times New Roman"/>
          <w:sz w:val="24"/>
          <w:szCs w:val="24"/>
          <w:lang w:val="en-US"/>
        </w:rPr>
        <w:tab/>
        <w:t>22-23</w:t>
      </w:r>
      <w:r>
        <w:rPr>
          <w:rFonts w:ascii="Times New Roman" w:hAnsi="Times New Roman" w:cs="Times New Roman"/>
          <w:sz w:val="24"/>
          <w:szCs w:val="24"/>
          <w:lang w:val="en-US"/>
        </w:rPr>
        <w:tab/>
        <w:t>23-24</w:t>
      </w:r>
      <w:r>
        <w:rPr>
          <w:rFonts w:ascii="Times New Roman" w:hAnsi="Times New Roman" w:cs="Times New Roman"/>
          <w:sz w:val="24"/>
          <w:szCs w:val="24"/>
          <w:lang w:val="en-US"/>
        </w:rPr>
        <w:tab/>
        <w:t>Sum</w:t>
      </w:r>
    </w:p>
    <w:p w14:paraId="225EA8C4" w14:textId="77777777" w:rsidR="00951034" w:rsidRDefault="00951034"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247D31E9" w14:textId="77777777" w:rsidR="00951034" w:rsidRDefault="00951034"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 2019 Forecasts</w:t>
      </w:r>
      <w:r>
        <w:rPr>
          <w:rFonts w:ascii="Times New Roman" w:hAnsi="Times New Roman" w:cs="Times New Roman"/>
          <w:sz w:val="24"/>
          <w:szCs w:val="24"/>
          <w:lang w:val="en-US"/>
        </w:rPr>
        <w:tab/>
        <w:t>2.25%</w:t>
      </w:r>
      <w:r>
        <w:rPr>
          <w:rFonts w:ascii="Times New Roman" w:hAnsi="Times New Roman" w:cs="Times New Roman"/>
          <w:sz w:val="24"/>
          <w:szCs w:val="24"/>
          <w:lang w:val="en-US"/>
        </w:rPr>
        <w:tab/>
        <w:t>2.75%</w:t>
      </w:r>
      <w:r>
        <w:rPr>
          <w:rFonts w:ascii="Times New Roman" w:hAnsi="Times New Roman" w:cs="Times New Roman"/>
          <w:sz w:val="24"/>
          <w:szCs w:val="24"/>
          <w:lang w:val="en-US"/>
        </w:rPr>
        <w:tab/>
        <w:t>3.0%</w:t>
      </w:r>
      <w:r>
        <w:rPr>
          <w:rFonts w:ascii="Times New Roman" w:hAnsi="Times New Roman" w:cs="Times New Roman"/>
          <w:sz w:val="24"/>
          <w:szCs w:val="24"/>
          <w:lang w:val="en-US"/>
        </w:rPr>
        <w:tab/>
        <w:t>3.0%</w:t>
      </w:r>
      <w:r>
        <w:rPr>
          <w:rFonts w:ascii="Times New Roman" w:hAnsi="Times New Roman" w:cs="Times New Roman"/>
          <w:sz w:val="24"/>
          <w:szCs w:val="24"/>
          <w:lang w:val="en-US"/>
        </w:rPr>
        <w:tab/>
        <w:t>3.0%</w:t>
      </w:r>
    </w:p>
    <w:p w14:paraId="71F06ECA" w14:textId="77777777" w:rsidR="00951034" w:rsidRDefault="00951034"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Implied </w:t>
      </w:r>
      <w:r w:rsidR="00350109">
        <w:rPr>
          <w:rFonts w:ascii="Times New Roman" w:hAnsi="Times New Roman" w:cs="Times New Roman"/>
          <w:sz w:val="24"/>
          <w:szCs w:val="24"/>
          <w:lang w:val="en-US"/>
        </w:rPr>
        <w:t>Employment</w:t>
      </w:r>
      <w:r>
        <w:rPr>
          <w:rFonts w:ascii="Times New Roman" w:hAnsi="Times New Roman" w:cs="Times New Roman"/>
          <w:sz w:val="24"/>
          <w:szCs w:val="24"/>
          <w:lang w:val="en-US"/>
        </w:rPr>
        <w:tab/>
        <w:t>102.3</w:t>
      </w:r>
      <w:r>
        <w:rPr>
          <w:rFonts w:ascii="Times New Roman" w:hAnsi="Times New Roman" w:cs="Times New Roman"/>
          <w:sz w:val="24"/>
          <w:szCs w:val="24"/>
          <w:lang w:val="en-US"/>
        </w:rPr>
        <w:tab/>
        <w:t>105.1</w:t>
      </w:r>
      <w:r>
        <w:rPr>
          <w:rFonts w:ascii="Times New Roman" w:hAnsi="Times New Roman" w:cs="Times New Roman"/>
          <w:sz w:val="24"/>
          <w:szCs w:val="24"/>
          <w:lang w:val="en-US"/>
        </w:rPr>
        <w:tab/>
        <w:t>108.2</w:t>
      </w:r>
      <w:r>
        <w:rPr>
          <w:rFonts w:ascii="Times New Roman" w:hAnsi="Times New Roman" w:cs="Times New Roman"/>
          <w:sz w:val="24"/>
          <w:szCs w:val="24"/>
          <w:lang w:val="en-US"/>
        </w:rPr>
        <w:tab/>
        <w:t>111.5</w:t>
      </w:r>
      <w:r>
        <w:rPr>
          <w:rFonts w:ascii="Times New Roman" w:hAnsi="Times New Roman" w:cs="Times New Roman"/>
          <w:sz w:val="24"/>
          <w:szCs w:val="24"/>
          <w:lang w:val="en-US"/>
        </w:rPr>
        <w:tab/>
        <w:t>114.8</w:t>
      </w:r>
      <w:r>
        <w:rPr>
          <w:rFonts w:ascii="Times New Roman" w:hAnsi="Times New Roman" w:cs="Times New Roman"/>
          <w:sz w:val="24"/>
          <w:szCs w:val="24"/>
          <w:lang w:val="en-US"/>
        </w:rPr>
        <w:tab/>
      </w:r>
    </w:p>
    <w:p w14:paraId="2FD72F99" w14:textId="77777777" w:rsidR="00951034" w:rsidRDefault="00951034"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 2020 Forecasts</w:t>
      </w:r>
      <w:r>
        <w:rPr>
          <w:rFonts w:ascii="Times New Roman" w:hAnsi="Times New Roman" w:cs="Times New Roman"/>
          <w:sz w:val="24"/>
          <w:szCs w:val="24"/>
          <w:lang w:val="en-US"/>
        </w:rPr>
        <w:tab/>
        <w:t>-0.2%</w:t>
      </w:r>
      <w:r>
        <w:rPr>
          <w:rFonts w:ascii="Times New Roman" w:hAnsi="Times New Roman" w:cs="Times New Roman"/>
          <w:sz w:val="24"/>
          <w:szCs w:val="24"/>
          <w:lang w:val="en-US"/>
        </w:rPr>
        <w:tab/>
        <w:t>0.75%</w:t>
      </w:r>
      <w:r>
        <w:rPr>
          <w:rFonts w:ascii="Times New Roman" w:hAnsi="Times New Roman" w:cs="Times New Roman"/>
          <w:sz w:val="24"/>
          <w:szCs w:val="24"/>
          <w:lang w:val="en-US"/>
        </w:rPr>
        <w:tab/>
        <w:t>3.5%</w:t>
      </w:r>
      <w:r>
        <w:rPr>
          <w:rFonts w:ascii="Times New Roman" w:hAnsi="Times New Roman" w:cs="Times New Roman"/>
          <w:sz w:val="24"/>
          <w:szCs w:val="24"/>
          <w:lang w:val="en-US"/>
        </w:rPr>
        <w:tab/>
        <w:t>2.5%</w:t>
      </w:r>
      <w:r>
        <w:rPr>
          <w:rFonts w:ascii="Times New Roman" w:hAnsi="Times New Roman" w:cs="Times New Roman"/>
          <w:sz w:val="24"/>
          <w:szCs w:val="24"/>
          <w:lang w:val="en-US"/>
        </w:rPr>
        <w:tab/>
        <w:t>2.75%</w:t>
      </w:r>
    </w:p>
    <w:p w14:paraId="6D49CFEE" w14:textId="77777777" w:rsidR="00951034" w:rsidRDefault="00350109"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Employment</w:t>
      </w:r>
      <w:r w:rsidR="00951034">
        <w:rPr>
          <w:rFonts w:ascii="Times New Roman" w:hAnsi="Times New Roman" w:cs="Times New Roman"/>
          <w:sz w:val="24"/>
          <w:szCs w:val="24"/>
          <w:lang w:val="en-US"/>
        </w:rPr>
        <w:tab/>
        <w:t>99.8</w:t>
      </w:r>
      <w:r w:rsidR="00951034">
        <w:rPr>
          <w:rFonts w:ascii="Times New Roman" w:hAnsi="Times New Roman" w:cs="Times New Roman"/>
          <w:sz w:val="24"/>
          <w:szCs w:val="24"/>
          <w:lang w:val="en-US"/>
        </w:rPr>
        <w:tab/>
        <w:t>100.5</w:t>
      </w:r>
      <w:r w:rsidR="00951034">
        <w:rPr>
          <w:rFonts w:ascii="Times New Roman" w:hAnsi="Times New Roman" w:cs="Times New Roman"/>
          <w:sz w:val="24"/>
          <w:szCs w:val="24"/>
          <w:lang w:val="en-US"/>
        </w:rPr>
        <w:tab/>
        <w:t>104.1</w:t>
      </w:r>
      <w:r w:rsidR="00951034">
        <w:rPr>
          <w:rFonts w:ascii="Times New Roman" w:hAnsi="Times New Roman" w:cs="Times New Roman"/>
          <w:sz w:val="24"/>
          <w:szCs w:val="24"/>
          <w:lang w:val="en-US"/>
        </w:rPr>
        <w:tab/>
        <w:t>106.6</w:t>
      </w:r>
      <w:r w:rsidR="00951034">
        <w:rPr>
          <w:rFonts w:ascii="Times New Roman" w:hAnsi="Times New Roman" w:cs="Times New Roman"/>
          <w:sz w:val="24"/>
          <w:szCs w:val="24"/>
          <w:lang w:val="en-US"/>
        </w:rPr>
        <w:tab/>
        <w:t>109.6</w:t>
      </w:r>
      <w:r w:rsidR="00951034">
        <w:rPr>
          <w:rFonts w:ascii="Times New Roman" w:hAnsi="Times New Roman" w:cs="Times New Roman"/>
          <w:sz w:val="24"/>
          <w:szCs w:val="24"/>
          <w:lang w:val="en-US"/>
        </w:rPr>
        <w:tab/>
      </w:r>
    </w:p>
    <w:p w14:paraId="43BAC503" w14:textId="77777777" w:rsidR="00951034" w:rsidRDefault="00951034" w:rsidP="00951034">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Shortfall</w:t>
      </w:r>
      <w:r>
        <w:rPr>
          <w:rFonts w:ascii="Times New Roman" w:hAnsi="Times New Roman" w:cs="Times New Roman"/>
          <w:sz w:val="24"/>
          <w:szCs w:val="24"/>
          <w:lang w:val="en-US"/>
        </w:rPr>
        <w:tab/>
        <w:t>2.5</w:t>
      </w:r>
      <w:r>
        <w:rPr>
          <w:rFonts w:ascii="Times New Roman" w:hAnsi="Times New Roman" w:cs="Times New Roman"/>
          <w:sz w:val="24"/>
          <w:szCs w:val="24"/>
          <w:lang w:val="en-US"/>
        </w:rPr>
        <w:tab/>
        <w:t>4.6</w:t>
      </w:r>
      <w:r>
        <w:rPr>
          <w:rFonts w:ascii="Times New Roman" w:hAnsi="Times New Roman" w:cs="Times New Roman"/>
          <w:sz w:val="24"/>
          <w:szCs w:val="24"/>
          <w:lang w:val="en-US"/>
        </w:rPr>
        <w:tab/>
        <w:t>4.1</w:t>
      </w:r>
      <w:r>
        <w:rPr>
          <w:rFonts w:ascii="Times New Roman" w:hAnsi="Times New Roman" w:cs="Times New Roman"/>
          <w:sz w:val="24"/>
          <w:szCs w:val="24"/>
          <w:lang w:val="en-US"/>
        </w:rPr>
        <w:tab/>
        <w:t>4.9</w:t>
      </w:r>
      <w:r>
        <w:rPr>
          <w:rFonts w:ascii="Times New Roman" w:hAnsi="Times New Roman" w:cs="Times New Roman"/>
          <w:sz w:val="24"/>
          <w:szCs w:val="24"/>
          <w:lang w:val="en-US"/>
        </w:rPr>
        <w:tab/>
        <w:t>5.2</w:t>
      </w:r>
      <w:r>
        <w:rPr>
          <w:rFonts w:ascii="Times New Roman" w:hAnsi="Times New Roman" w:cs="Times New Roman"/>
          <w:sz w:val="24"/>
          <w:szCs w:val="24"/>
          <w:lang w:val="en-US"/>
        </w:rPr>
        <w:tab/>
        <w:t>21.3</w:t>
      </w:r>
    </w:p>
    <w:p w14:paraId="6F24DF20" w14:textId="77777777" w:rsidR="00951034" w:rsidRDefault="00951034" w:rsidP="00951034">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7490C310" w14:textId="77777777" w:rsidR="00951034" w:rsidRDefault="00951034" w:rsidP="00951034">
      <w:pPr>
        <w:spacing w:after="0" w:line="360" w:lineRule="auto"/>
        <w:jc w:val="both"/>
        <w:rPr>
          <w:rFonts w:ascii="Times New Roman" w:hAnsi="Times New Roman" w:cs="Times New Roman"/>
          <w:sz w:val="24"/>
          <w:szCs w:val="24"/>
          <w:lang w:val="en-US"/>
        </w:rPr>
      </w:pPr>
    </w:p>
    <w:p w14:paraId="70982124" w14:textId="77777777" w:rsidR="007F5D72" w:rsidRDefault="00135ABA" w:rsidP="007F5D7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these Labour Force shortfalls would have arisen </w:t>
      </w:r>
      <w:r w:rsidR="00EB75C8">
        <w:rPr>
          <w:rFonts w:ascii="Times New Roman" w:hAnsi="Times New Roman" w:cs="Times New Roman"/>
          <w:sz w:val="24"/>
          <w:szCs w:val="24"/>
          <w:lang w:val="en-US"/>
        </w:rPr>
        <w:t xml:space="preserve">from the pandemic </w:t>
      </w:r>
      <w:r>
        <w:rPr>
          <w:rFonts w:ascii="Times New Roman" w:hAnsi="Times New Roman" w:cs="Times New Roman"/>
          <w:sz w:val="24"/>
          <w:szCs w:val="24"/>
          <w:lang w:val="en-US"/>
        </w:rPr>
        <w:t xml:space="preserve">without any Australian government-imposed lockdowns, and it is only the fraction due to the lockdowns that are of interest.  Section 2.3 estimate the proportion of the GDP shortfalls due to lockdowns at 39%, and the same proportion is applied here.  So, </w:t>
      </w:r>
      <w:r w:rsidR="009D25A2">
        <w:rPr>
          <w:rFonts w:ascii="Times New Roman" w:hAnsi="Times New Roman" w:cs="Times New Roman"/>
          <w:sz w:val="24"/>
          <w:szCs w:val="24"/>
          <w:lang w:val="en-US"/>
        </w:rPr>
        <w:t xml:space="preserve">lockdowns </w:t>
      </w:r>
      <w:r w:rsidR="008E3C5C">
        <w:rPr>
          <w:rFonts w:ascii="Times New Roman" w:hAnsi="Times New Roman" w:cs="Times New Roman"/>
          <w:sz w:val="24"/>
          <w:szCs w:val="24"/>
          <w:lang w:val="en-US"/>
        </w:rPr>
        <w:t xml:space="preserve">are expected to </w:t>
      </w:r>
      <w:r w:rsidR="009D25A2">
        <w:rPr>
          <w:rFonts w:ascii="Times New Roman" w:hAnsi="Times New Roman" w:cs="Times New Roman"/>
          <w:sz w:val="24"/>
          <w:szCs w:val="24"/>
          <w:lang w:val="en-US"/>
        </w:rPr>
        <w:t xml:space="preserve">have reduced the size of the Labour Force by the equivalent of 2.8m*0.39 = 1.1m for one year, i.e., 1.1m people lost their jobs for one year.  </w:t>
      </w:r>
      <w:proofErr w:type="spellStart"/>
      <w:r w:rsidR="009D25A2">
        <w:rPr>
          <w:rFonts w:ascii="Times New Roman" w:hAnsi="Times New Roman" w:cs="Times New Roman"/>
          <w:sz w:val="24"/>
          <w:szCs w:val="24"/>
          <w:lang w:val="en-US"/>
        </w:rPr>
        <w:t>Frijters</w:t>
      </w:r>
      <w:proofErr w:type="spellEnd"/>
      <w:r w:rsidR="009D25A2">
        <w:rPr>
          <w:rFonts w:ascii="Times New Roman" w:hAnsi="Times New Roman" w:cs="Times New Roman"/>
          <w:sz w:val="24"/>
          <w:szCs w:val="24"/>
          <w:lang w:val="en-US"/>
        </w:rPr>
        <w:t xml:space="preserve"> (2020) estimates that the loss of </w:t>
      </w:r>
      <w:r w:rsidR="00F632CB">
        <w:rPr>
          <w:rFonts w:ascii="Times New Roman" w:hAnsi="Times New Roman" w:cs="Times New Roman"/>
          <w:sz w:val="24"/>
          <w:szCs w:val="24"/>
          <w:lang w:val="en-US"/>
        </w:rPr>
        <w:t xml:space="preserve">employment </w:t>
      </w:r>
      <w:r w:rsidR="009D25A2">
        <w:rPr>
          <w:rFonts w:ascii="Times New Roman" w:hAnsi="Times New Roman" w:cs="Times New Roman"/>
          <w:sz w:val="24"/>
          <w:szCs w:val="24"/>
          <w:lang w:val="en-US"/>
        </w:rPr>
        <w:t xml:space="preserve">for one year reduces </w:t>
      </w:r>
      <w:r w:rsidR="00F632CB">
        <w:rPr>
          <w:rFonts w:ascii="Times New Roman" w:hAnsi="Times New Roman" w:cs="Times New Roman"/>
          <w:sz w:val="24"/>
          <w:szCs w:val="24"/>
          <w:lang w:val="en-US"/>
        </w:rPr>
        <w:t xml:space="preserve">a person’s </w:t>
      </w:r>
      <w:r w:rsidR="009D25A2">
        <w:rPr>
          <w:rFonts w:ascii="Times New Roman" w:hAnsi="Times New Roman" w:cs="Times New Roman"/>
          <w:sz w:val="24"/>
          <w:szCs w:val="24"/>
          <w:lang w:val="en-US"/>
        </w:rPr>
        <w:t xml:space="preserve">quality of life </w:t>
      </w:r>
      <w:r w:rsidR="00121A10">
        <w:rPr>
          <w:rFonts w:ascii="Times New Roman" w:hAnsi="Times New Roman" w:cs="Times New Roman"/>
          <w:sz w:val="24"/>
          <w:szCs w:val="24"/>
          <w:lang w:val="en-US"/>
        </w:rPr>
        <w:t xml:space="preserve">during that year </w:t>
      </w:r>
      <w:r w:rsidR="009D25A2">
        <w:rPr>
          <w:rFonts w:ascii="Times New Roman" w:hAnsi="Times New Roman" w:cs="Times New Roman"/>
          <w:sz w:val="24"/>
          <w:szCs w:val="24"/>
          <w:lang w:val="en-US"/>
        </w:rPr>
        <w:t xml:space="preserve">by the equivalent </w:t>
      </w:r>
      <w:r w:rsidR="000A10C8">
        <w:rPr>
          <w:rFonts w:ascii="Times New Roman" w:hAnsi="Times New Roman" w:cs="Times New Roman"/>
          <w:sz w:val="24"/>
          <w:szCs w:val="24"/>
          <w:lang w:val="en-US"/>
        </w:rPr>
        <w:t>of 0.12</w:t>
      </w:r>
      <w:r w:rsidR="009D25A2">
        <w:rPr>
          <w:rFonts w:ascii="Times New Roman" w:hAnsi="Times New Roman" w:cs="Times New Roman"/>
          <w:sz w:val="24"/>
          <w:szCs w:val="24"/>
          <w:lang w:val="en-US"/>
        </w:rPr>
        <w:t xml:space="preserve"> years of life.</w:t>
      </w:r>
      <w:r w:rsidR="009D25A2">
        <w:rPr>
          <w:rStyle w:val="FootnoteReference"/>
          <w:rFonts w:ascii="Times New Roman" w:hAnsi="Times New Roman" w:cs="Times New Roman"/>
          <w:sz w:val="24"/>
          <w:szCs w:val="24"/>
          <w:lang w:val="en-US"/>
        </w:rPr>
        <w:footnoteReference w:id="24"/>
      </w:r>
      <w:r w:rsidR="000A10C8">
        <w:rPr>
          <w:rFonts w:ascii="Times New Roman" w:hAnsi="Times New Roman" w:cs="Times New Roman"/>
          <w:sz w:val="24"/>
          <w:szCs w:val="24"/>
          <w:lang w:val="en-US"/>
        </w:rPr>
        <w:t xml:space="preserve">  </w:t>
      </w:r>
      <w:r w:rsidR="00F8420A">
        <w:rPr>
          <w:rFonts w:ascii="Times New Roman" w:hAnsi="Times New Roman" w:cs="Times New Roman"/>
          <w:sz w:val="24"/>
          <w:szCs w:val="24"/>
          <w:lang w:val="en-US"/>
        </w:rPr>
        <w:t xml:space="preserve">This </w:t>
      </w:r>
      <w:r w:rsidR="000A10C8">
        <w:rPr>
          <w:rFonts w:ascii="Times New Roman" w:hAnsi="Times New Roman" w:cs="Times New Roman"/>
          <w:sz w:val="24"/>
          <w:szCs w:val="24"/>
          <w:lang w:val="en-US"/>
        </w:rPr>
        <w:t>estimate is subjective, but so too is the estimate of the reduction in life quality of a typical covid-19 victim by 20% to reflect their co-morbidities</w:t>
      </w:r>
      <w:r w:rsidR="009C2168">
        <w:rPr>
          <w:rFonts w:ascii="Times New Roman" w:hAnsi="Times New Roman" w:cs="Times New Roman"/>
          <w:sz w:val="24"/>
          <w:szCs w:val="24"/>
          <w:lang w:val="en-US"/>
        </w:rPr>
        <w:t xml:space="preserve"> (in section 2.2 above)</w:t>
      </w:r>
      <w:r w:rsidR="000A10C8">
        <w:rPr>
          <w:rFonts w:ascii="Times New Roman" w:hAnsi="Times New Roman" w:cs="Times New Roman"/>
          <w:sz w:val="24"/>
          <w:szCs w:val="24"/>
          <w:lang w:val="en-US"/>
        </w:rPr>
        <w:t xml:space="preserve">.  So, the </w:t>
      </w:r>
      <w:r w:rsidR="00FE593F">
        <w:rPr>
          <w:rFonts w:ascii="Times New Roman" w:hAnsi="Times New Roman" w:cs="Times New Roman"/>
          <w:sz w:val="24"/>
          <w:szCs w:val="24"/>
          <w:lang w:val="en-US"/>
        </w:rPr>
        <w:t xml:space="preserve">loss of employment for 1.1m people for one year is equivalent to the loss of </w:t>
      </w:r>
      <w:r w:rsidR="000A10C8">
        <w:rPr>
          <w:rFonts w:ascii="Times New Roman" w:hAnsi="Times New Roman" w:cs="Times New Roman"/>
          <w:sz w:val="24"/>
          <w:szCs w:val="24"/>
          <w:lang w:val="en-US"/>
        </w:rPr>
        <w:t>1.1m*0.1</w:t>
      </w:r>
      <w:r w:rsidR="007F5D72">
        <w:rPr>
          <w:rFonts w:ascii="Times New Roman" w:hAnsi="Times New Roman" w:cs="Times New Roman"/>
          <w:sz w:val="24"/>
          <w:szCs w:val="24"/>
          <w:lang w:val="en-US"/>
        </w:rPr>
        <w:t xml:space="preserve">2 = 132,000 QALYs.  Netting this off against the </w:t>
      </w:r>
      <w:r w:rsidR="00C15679">
        <w:rPr>
          <w:rFonts w:ascii="Times New Roman" w:hAnsi="Times New Roman" w:cs="Times New Roman"/>
          <w:sz w:val="24"/>
          <w:szCs w:val="24"/>
          <w:lang w:val="en-US"/>
        </w:rPr>
        <w:t>68</w:t>
      </w:r>
      <w:r w:rsidR="008E0AF2">
        <w:rPr>
          <w:rFonts w:ascii="Times New Roman" w:hAnsi="Times New Roman" w:cs="Times New Roman"/>
          <w:sz w:val="24"/>
          <w:szCs w:val="24"/>
          <w:lang w:val="en-US"/>
        </w:rPr>
        <w:t>,000</w:t>
      </w:r>
      <w:r w:rsidR="004A43D5" w:rsidRPr="004A43D5">
        <w:rPr>
          <w:rFonts w:ascii="Times New Roman" w:hAnsi="Times New Roman" w:cs="Times New Roman"/>
          <w:i/>
          <w:sz w:val="24"/>
          <w:szCs w:val="24"/>
          <w:lang w:val="en-US"/>
        </w:rPr>
        <w:t>N</w:t>
      </w:r>
      <w:r w:rsidR="007F5D72">
        <w:rPr>
          <w:rFonts w:ascii="Times New Roman" w:hAnsi="Times New Roman" w:cs="Times New Roman"/>
          <w:sz w:val="24"/>
          <w:szCs w:val="24"/>
          <w:lang w:val="en-US"/>
        </w:rPr>
        <w:t xml:space="preserve"> QALYs saved by the lockdown, equation (7) becomes</w:t>
      </w:r>
    </w:p>
    <w:p w14:paraId="173C4450" w14:textId="77777777" w:rsidR="005D09F0" w:rsidRDefault="005D09F0" w:rsidP="007F5D72">
      <w:pPr>
        <w:spacing w:after="0" w:line="360" w:lineRule="auto"/>
        <w:jc w:val="both"/>
        <w:rPr>
          <w:rFonts w:ascii="Times New Roman" w:hAnsi="Times New Roman" w:cs="Times New Roman"/>
          <w:sz w:val="24"/>
          <w:szCs w:val="24"/>
          <w:lang w:val="en-US"/>
        </w:rPr>
      </w:pPr>
    </w:p>
    <w:p w14:paraId="7E1569A1" w14:textId="77777777" w:rsidR="007F5D72" w:rsidRDefault="007F5D72" w:rsidP="007F5D7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$160b-$6.8b-N$4.2b</m:t>
              </m:r>
            </m:num>
            <m:den>
              <m:r>
                <w:rPr>
                  <w:rFonts w:ascii="Cambria Math" w:hAnsi="Cambria Math" w:cs="Times New Roman"/>
                  <w:sz w:val="24"/>
                  <w:szCs w:val="24"/>
                  <w:lang w:val="en-US"/>
                </w:rPr>
                <m:t>68,000N-132,000</m:t>
              </m:r>
            </m:den>
          </m:f>
          <m:r>
            <w:rPr>
              <w:rFonts w:ascii="Cambria Math" w:hAnsi="Cambria Math" w:cs="Times New Roman"/>
              <w:sz w:val="24"/>
              <w:szCs w:val="24"/>
              <w:lang w:val="en-US"/>
            </w:rPr>
            <m:t xml:space="preserve">                                                    (8)</m:t>
          </m:r>
        </m:oMath>
      </m:oMathPara>
    </w:p>
    <w:p w14:paraId="16824B03" w14:textId="77777777" w:rsidR="007F5D72" w:rsidRDefault="007F5D72" w:rsidP="007F5D72">
      <w:pPr>
        <w:spacing w:after="0" w:line="360" w:lineRule="auto"/>
        <w:jc w:val="center"/>
        <w:rPr>
          <w:rFonts w:ascii="Times New Roman" w:hAnsi="Times New Roman" w:cs="Times New Roman"/>
          <w:sz w:val="24"/>
          <w:szCs w:val="24"/>
          <w:lang w:val="en-US"/>
        </w:rPr>
      </w:pPr>
    </w:p>
    <w:p w14:paraId="1F847FF1" w14:textId="77777777" w:rsidR="004F7E89" w:rsidRDefault="00FB01D0" w:rsidP="004F7E8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sidRPr="00A40B3B">
        <w:rPr>
          <w:rFonts w:ascii="Times New Roman" w:hAnsi="Times New Roman" w:cs="Times New Roman"/>
          <w:i/>
          <w:sz w:val="24"/>
          <w:szCs w:val="24"/>
          <w:lang w:val="en-US"/>
        </w:rPr>
        <w:t>N</w:t>
      </w:r>
      <w:r>
        <w:rPr>
          <w:rFonts w:ascii="Times New Roman" w:hAnsi="Times New Roman" w:cs="Times New Roman"/>
          <w:sz w:val="24"/>
          <w:szCs w:val="24"/>
          <w:lang w:val="en-US"/>
        </w:rPr>
        <w:t xml:space="preserve"> = 1.5, which is plausible, this QALY effect from unemployment is almost equal to the QALY effect of the covid-19 deaths under a mitigation policy.  So, in the interests of being conservative, I </w:t>
      </w:r>
      <w:r w:rsidR="00CB44B4">
        <w:rPr>
          <w:rFonts w:ascii="Times New Roman" w:hAnsi="Times New Roman" w:cs="Times New Roman"/>
          <w:sz w:val="24"/>
          <w:szCs w:val="24"/>
          <w:lang w:val="en-US"/>
        </w:rPr>
        <w:t xml:space="preserve">halve the </w:t>
      </w:r>
      <w:r w:rsidR="007F5D72">
        <w:rPr>
          <w:rFonts w:ascii="Times New Roman" w:hAnsi="Times New Roman" w:cs="Times New Roman"/>
          <w:sz w:val="24"/>
          <w:szCs w:val="24"/>
          <w:lang w:val="en-US"/>
        </w:rPr>
        <w:t xml:space="preserve">QALY </w:t>
      </w:r>
      <w:r>
        <w:rPr>
          <w:rFonts w:ascii="Times New Roman" w:hAnsi="Times New Roman" w:cs="Times New Roman"/>
          <w:sz w:val="24"/>
          <w:szCs w:val="24"/>
          <w:lang w:val="en-US"/>
        </w:rPr>
        <w:t xml:space="preserve">impact of </w:t>
      </w:r>
      <w:r w:rsidR="007F5D72">
        <w:rPr>
          <w:rFonts w:ascii="Times New Roman" w:hAnsi="Times New Roman" w:cs="Times New Roman"/>
          <w:sz w:val="24"/>
          <w:szCs w:val="24"/>
          <w:lang w:val="en-US"/>
        </w:rPr>
        <w:t xml:space="preserve">unemployment for a year </w:t>
      </w:r>
      <w:r>
        <w:rPr>
          <w:rFonts w:ascii="Times New Roman" w:hAnsi="Times New Roman" w:cs="Times New Roman"/>
          <w:sz w:val="24"/>
          <w:szCs w:val="24"/>
          <w:lang w:val="en-US"/>
        </w:rPr>
        <w:t>from 0</w:t>
      </w:r>
      <w:r w:rsidR="002C1857">
        <w:rPr>
          <w:rFonts w:ascii="Times New Roman" w:hAnsi="Times New Roman" w:cs="Times New Roman"/>
          <w:sz w:val="24"/>
          <w:szCs w:val="24"/>
          <w:lang w:val="en-US"/>
        </w:rPr>
        <w:t xml:space="preserve">.12 </w:t>
      </w:r>
      <w:r>
        <w:rPr>
          <w:rFonts w:ascii="Times New Roman" w:hAnsi="Times New Roman" w:cs="Times New Roman"/>
          <w:sz w:val="24"/>
          <w:szCs w:val="24"/>
          <w:lang w:val="en-US"/>
        </w:rPr>
        <w:t xml:space="preserve">years of life </w:t>
      </w:r>
      <w:r w:rsidR="002C1857">
        <w:rPr>
          <w:rFonts w:ascii="Times New Roman" w:hAnsi="Times New Roman" w:cs="Times New Roman"/>
          <w:sz w:val="24"/>
          <w:szCs w:val="24"/>
          <w:lang w:val="en-US"/>
        </w:rPr>
        <w:t xml:space="preserve">to </w:t>
      </w:r>
      <w:r w:rsidR="00CB44B4">
        <w:rPr>
          <w:rFonts w:ascii="Times New Roman" w:hAnsi="Times New Roman" w:cs="Times New Roman"/>
          <w:sz w:val="24"/>
          <w:szCs w:val="24"/>
          <w:lang w:val="en-US"/>
        </w:rPr>
        <w:t>0.06</w:t>
      </w:r>
      <w:r>
        <w:rPr>
          <w:rFonts w:ascii="Times New Roman" w:hAnsi="Times New Roman" w:cs="Times New Roman"/>
          <w:sz w:val="24"/>
          <w:szCs w:val="24"/>
          <w:lang w:val="en-US"/>
        </w:rPr>
        <w:t xml:space="preserve"> years of life.  The </w:t>
      </w:r>
      <w:r w:rsidR="004F7E89">
        <w:rPr>
          <w:rFonts w:ascii="Times New Roman" w:hAnsi="Times New Roman" w:cs="Times New Roman"/>
          <w:sz w:val="24"/>
          <w:szCs w:val="24"/>
          <w:lang w:val="en-US"/>
        </w:rPr>
        <w:t xml:space="preserve">loss of employment for 1.1m people for one year </w:t>
      </w:r>
      <w:r>
        <w:rPr>
          <w:rFonts w:ascii="Times New Roman" w:hAnsi="Times New Roman" w:cs="Times New Roman"/>
          <w:sz w:val="24"/>
          <w:szCs w:val="24"/>
          <w:lang w:val="en-US"/>
        </w:rPr>
        <w:t xml:space="preserve">would then be </w:t>
      </w:r>
      <w:r w:rsidR="004F7E89">
        <w:rPr>
          <w:rFonts w:ascii="Times New Roman" w:hAnsi="Times New Roman" w:cs="Times New Roman"/>
          <w:sz w:val="24"/>
          <w:szCs w:val="24"/>
          <w:lang w:val="en-US"/>
        </w:rPr>
        <w:lastRenderedPageBreak/>
        <w:t>equ</w:t>
      </w:r>
      <w:r w:rsidR="00CB44B4">
        <w:rPr>
          <w:rFonts w:ascii="Times New Roman" w:hAnsi="Times New Roman" w:cs="Times New Roman"/>
          <w:sz w:val="24"/>
          <w:szCs w:val="24"/>
          <w:lang w:val="en-US"/>
        </w:rPr>
        <w:t>ivalent to the loss of 1.1m*0.06 = 66</w:t>
      </w:r>
      <w:r w:rsidR="004F7E89">
        <w:rPr>
          <w:rFonts w:ascii="Times New Roman" w:hAnsi="Times New Roman" w:cs="Times New Roman"/>
          <w:sz w:val="24"/>
          <w:szCs w:val="24"/>
          <w:lang w:val="en-US"/>
        </w:rPr>
        <w:t>,000 QALYs</w:t>
      </w:r>
      <w:r>
        <w:rPr>
          <w:rFonts w:ascii="Times New Roman" w:hAnsi="Times New Roman" w:cs="Times New Roman"/>
          <w:sz w:val="24"/>
          <w:szCs w:val="24"/>
          <w:lang w:val="en-US"/>
        </w:rPr>
        <w:t xml:space="preserve">.  The cost per QALY saved by lockdown </w:t>
      </w:r>
      <w:r w:rsidR="00C15679">
        <w:rPr>
          <w:rFonts w:ascii="Times New Roman" w:hAnsi="Times New Roman" w:cs="Times New Roman"/>
          <w:sz w:val="24"/>
          <w:szCs w:val="24"/>
          <w:lang w:val="en-US"/>
        </w:rPr>
        <w:t xml:space="preserve">would </w:t>
      </w:r>
      <w:r>
        <w:rPr>
          <w:rFonts w:ascii="Times New Roman" w:hAnsi="Times New Roman" w:cs="Times New Roman"/>
          <w:sz w:val="24"/>
          <w:szCs w:val="24"/>
          <w:lang w:val="en-US"/>
        </w:rPr>
        <w:t xml:space="preserve">then </w:t>
      </w:r>
      <w:r w:rsidR="008E0AF2">
        <w:rPr>
          <w:rFonts w:ascii="Times New Roman" w:hAnsi="Times New Roman" w:cs="Times New Roman"/>
          <w:sz w:val="24"/>
          <w:szCs w:val="24"/>
          <w:lang w:val="en-US"/>
        </w:rPr>
        <w:t>be as follows:</w:t>
      </w:r>
    </w:p>
    <w:p w14:paraId="392D0FD3" w14:textId="77777777" w:rsidR="006D69FF" w:rsidRDefault="006D69FF" w:rsidP="004F7E89">
      <w:pPr>
        <w:spacing w:after="0" w:line="360" w:lineRule="auto"/>
        <w:jc w:val="both"/>
        <w:rPr>
          <w:rFonts w:ascii="Times New Roman" w:hAnsi="Times New Roman" w:cs="Times New Roman"/>
          <w:sz w:val="24"/>
          <w:szCs w:val="24"/>
          <w:lang w:val="en-US"/>
        </w:rPr>
      </w:pPr>
    </w:p>
    <w:p w14:paraId="10C4F23D" w14:textId="77777777" w:rsidR="00446448" w:rsidRDefault="004F7E89" w:rsidP="008702F9">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$160b-$6.8b-N$4.2b</m:t>
              </m:r>
            </m:num>
            <m:den>
              <m:r>
                <w:rPr>
                  <w:rFonts w:ascii="Cambria Math" w:hAnsi="Cambria Math" w:cs="Times New Roman"/>
                  <w:sz w:val="24"/>
                  <w:szCs w:val="24"/>
                  <w:lang w:val="en-US"/>
                </w:rPr>
                <m:t>68,000N-66,000</m:t>
              </m:r>
            </m:den>
          </m:f>
          <m:r>
            <w:rPr>
              <w:rFonts w:ascii="Cambria Math" w:hAnsi="Cambria Math" w:cs="Times New Roman"/>
              <w:sz w:val="24"/>
              <w:szCs w:val="24"/>
              <w:lang w:val="en-US"/>
            </w:rPr>
            <m:t xml:space="preserve">                                                    (9)</m:t>
          </m:r>
        </m:oMath>
      </m:oMathPara>
    </w:p>
    <w:p w14:paraId="6E8DC6CE" w14:textId="77777777" w:rsidR="00446448" w:rsidRPr="00A1400C" w:rsidRDefault="00446448" w:rsidP="008702F9">
      <w:pPr>
        <w:spacing w:after="0" w:line="360" w:lineRule="auto"/>
        <w:jc w:val="both"/>
        <w:rPr>
          <w:rFonts w:ascii="Times New Roman" w:hAnsi="Times New Roman" w:cs="Times New Roman"/>
          <w:sz w:val="24"/>
          <w:szCs w:val="24"/>
          <w:lang w:val="en-US"/>
        </w:rPr>
      </w:pPr>
    </w:p>
    <w:p w14:paraId="5010B2F6" w14:textId="77777777" w:rsidR="00C83148" w:rsidRPr="00B97C8C" w:rsidRDefault="00B97C8C" w:rsidP="008702F9">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2.5 </w:t>
      </w:r>
      <w:r w:rsidR="009F770F">
        <w:rPr>
          <w:rFonts w:ascii="Times New Roman" w:hAnsi="Times New Roman" w:cs="Times New Roman"/>
          <w:i/>
          <w:sz w:val="24"/>
          <w:szCs w:val="24"/>
          <w:lang w:val="en-US"/>
        </w:rPr>
        <w:t xml:space="preserve">The </w:t>
      </w:r>
      <w:r w:rsidR="00B17B3A">
        <w:rPr>
          <w:rFonts w:ascii="Times New Roman" w:hAnsi="Times New Roman" w:cs="Times New Roman"/>
          <w:i/>
          <w:sz w:val="24"/>
          <w:szCs w:val="24"/>
          <w:lang w:val="en-US"/>
        </w:rPr>
        <w:t>Benchmark Valuation</w:t>
      </w:r>
      <w:r>
        <w:rPr>
          <w:rFonts w:ascii="Times New Roman" w:hAnsi="Times New Roman" w:cs="Times New Roman"/>
          <w:i/>
          <w:sz w:val="24"/>
          <w:szCs w:val="24"/>
          <w:lang w:val="en-US"/>
        </w:rPr>
        <w:t xml:space="preserve"> of a QALY</w:t>
      </w:r>
    </w:p>
    <w:p w14:paraId="2BAE7763" w14:textId="77777777" w:rsidR="00C83148" w:rsidRDefault="0059433B"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Australia, </w:t>
      </w:r>
      <w:r w:rsidR="00B97C8C">
        <w:rPr>
          <w:rFonts w:ascii="Times New Roman" w:hAnsi="Times New Roman" w:cs="Times New Roman"/>
          <w:sz w:val="24"/>
          <w:szCs w:val="24"/>
          <w:lang w:val="en-US"/>
        </w:rPr>
        <w:t>Blakely and Wilson (2020) use a benchmark of $100,000 per QALY</w:t>
      </w:r>
      <w:r w:rsidR="00B10806">
        <w:rPr>
          <w:rFonts w:ascii="Times New Roman" w:hAnsi="Times New Roman" w:cs="Times New Roman"/>
          <w:sz w:val="24"/>
          <w:szCs w:val="24"/>
          <w:lang w:val="en-US"/>
        </w:rPr>
        <w:t xml:space="preserve"> saved, based upon </w:t>
      </w:r>
      <w:r>
        <w:rPr>
          <w:rFonts w:ascii="Times New Roman" w:hAnsi="Times New Roman" w:cs="Times New Roman"/>
          <w:sz w:val="24"/>
          <w:szCs w:val="24"/>
          <w:lang w:val="en-US"/>
        </w:rPr>
        <w:t>“</w:t>
      </w:r>
      <w:r w:rsidR="00B10806">
        <w:rPr>
          <w:rFonts w:ascii="Times New Roman" w:hAnsi="Times New Roman" w:cs="Times New Roman"/>
          <w:sz w:val="24"/>
          <w:szCs w:val="24"/>
          <w:lang w:val="en-US"/>
        </w:rPr>
        <w:t>rules of thumb in the Australian health system</w:t>
      </w:r>
      <w:r>
        <w:rPr>
          <w:rFonts w:ascii="Times New Roman" w:hAnsi="Times New Roman" w:cs="Times New Roman"/>
          <w:sz w:val="24"/>
          <w:szCs w:val="24"/>
          <w:lang w:val="en-US"/>
        </w:rPr>
        <w:t>”</w:t>
      </w:r>
      <w:r w:rsidR="00B10806">
        <w:rPr>
          <w:rFonts w:ascii="Times New Roman" w:hAnsi="Times New Roman" w:cs="Times New Roman"/>
          <w:sz w:val="24"/>
          <w:szCs w:val="24"/>
          <w:lang w:val="en-US"/>
        </w:rPr>
        <w:t xml:space="preserve">.  </w:t>
      </w:r>
      <w:r w:rsidR="009327F2">
        <w:rPr>
          <w:rFonts w:ascii="Times New Roman" w:hAnsi="Times New Roman" w:cs="Times New Roman"/>
          <w:sz w:val="24"/>
          <w:szCs w:val="24"/>
          <w:lang w:val="en-US"/>
        </w:rPr>
        <w:t xml:space="preserve">Foster (2020) uses the same figure.  </w:t>
      </w:r>
      <w:r w:rsidR="00B10806">
        <w:rPr>
          <w:rFonts w:ascii="Times New Roman" w:hAnsi="Times New Roman" w:cs="Times New Roman"/>
          <w:sz w:val="24"/>
          <w:szCs w:val="24"/>
          <w:lang w:val="en-US"/>
        </w:rPr>
        <w:t xml:space="preserve">By contrast, the WHO recommends </w:t>
      </w:r>
      <w:r w:rsidR="00FC73E3">
        <w:rPr>
          <w:rFonts w:ascii="Times New Roman" w:hAnsi="Times New Roman" w:cs="Times New Roman"/>
          <w:sz w:val="24"/>
          <w:szCs w:val="24"/>
          <w:lang w:val="en-US"/>
        </w:rPr>
        <w:t xml:space="preserve">a benchmark equal to a country’s </w:t>
      </w:r>
      <w:r w:rsidR="00B10806">
        <w:rPr>
          <w:rFonts w:ascii="Times New Roman" w:hAnsi="Times New Roman" w:cs="Times New Roman"/>
          <w:sz w:val="24"/>
          <w:szCs w:val="24"/>
          <w:lang w:val="en-US"/>
        </w:rPr>
        <w:t>per capita GDP</w:t>
      </w:r>
      <w:r w:rsidR="008E6586">
        <w:rPr>
          <w:rFonts w:ascii="Times New Roman" w:hAnsi="Times New Roman" w:cs="Times New Roman"/>
          <w:sz w:val="24"/>
          <w:szCs w:val="24"/>
          <w:lang w:val="en-US"/>
        </w:rPr>
        <w:t xml:space="preserve"> (Bertram et al, 2016)</w:t>
      </w:r>
      <w:r w:rsidR="00B10806">
        <w:rPr>
          <w:rFonts w:ascii="Times New Roman" w:hAnsi="Times New Roman" w:cs="Times New Roman"/>
          <w:sz w:val="24"/>
          <w:szCs w:val="24"/>
          <w:lang w:val="en-US"/>
        </w:rPr>
        <w:t xml:space="preserve">, which is </w:t>
      </w:r>
      <w:r>
        <w:rPr>
          <w:rFonts w:ascii="Times New Roman" w:hAnsi="Times New Roman" w:cs="Times New Roman"/>
          <w:sz w:val="24"/>
          <w:szCs w:val="24"/>
          <w:lang w:val="en-US"/>
        </w:rPr>
        <w:t xml:space="preserve">currently </w:t>
      </w:r>
      <w:r w:rsidR="00B10806">
        <w:rPr>
          <w:rFonts w:ascii="Times New Roman" w:hAnsi="Times New Roman" w:cs="Times New Roman"/>
          <w:sz w:val="24"/>
          <w:szCs w:val="24"/>
          <w:lang w:val="en-US"/>
        </w:rPr>
        <w:t>$</w:t>
      </w:r>
      <w:r w:rsidR="008E6586">
        <w:rPr>
          <w:rFonts w:ascii="Times New Roman" w:hAnsi="Times New Roman" w:cs="Times New Roman"/>
          <w:sz w:val="24"/>
          <w:szCs w:val="24"/>
          <w:lang w:val="en-US"/>
        </w:rPr>
        <w:t>75</w:t>
      </w:r>
      <w:r w:rsidR="002B24E3">
        <w:rPr>
          <w:rFonts w:ascii="Times New Roman" w:hAnsi="Times New Roman" w:cs="Times New Roman"/>
          <w:sz w:val="24"/>
          <w:szCs w:val="24"/>
          <w:lang w:val="en-US"/>
        </w:rPr>
        <w:t>,000.</w:t>
      </w:r>
      <w:r w:rsidR="002B24E3">
        <w:rPr>
          <w:rStyle w:val="FootnoteReference"/>
          <w:rFonts w:ascii="Times New Roman" w:hAnsi="Times New Roman" w:cs="Times New Roman"/>
          <w:sz w:val="24"/>
          <w:szCs w:val="24"/>
          <w:lang w:val="en-US"/>
        </w:rPr>
        <w:footnoteReference w:id="25"/>
      </w:r>
      <w:r w:rsidR="009C4DB9">
        <w:rPr>
          <w:rFonts w:ascii="Times New Roman" w:hAnsi="Times New Roman" w:cs="Times New Roman"/>
          <w:sz w:val="24"/>
          <w:szCs w:val="24"/>
          <w:lang w:val="en-US"/>
        </w:rPr>
        <w:t xml:space="preserve">  </w:t>
      </w:r>
      <w:r w:rsidR="00DA000E">
        <w:rPr>
          <w:rFonts w:ascii="Times New Roman" w:hAnsi="Times New Roman" w:cs="Times New Roman"/>
          <w:sz w:val="24"/>
          <w:szCs w:val="24"/>
          <w:lang w:val="en-US"/>
        </w:rPr>
        <w:t>Interestingly, Blakely and Wilson also co-authored an almost identical paper for New Zealand (Blakely et al, 2020), and they adopt</w:t>
      </w:r>
      <w:r w:rsidR="00CA557C">
        <w:rPr>
          <w:rFonts w:ascii="Times New Roman" w:hAnsi="Times New Roman" w:cs="Times New Roman"/>
          <w:sz w:val="24"/>
          <w:szCs w:val="24"/>
          <w:lang w:val="en-US"/>
        </w:rPr>
        <w:t>ed</w:t>
      </w:r>
      <w:r w:rsidR="00DA000E">
        <w:rPr>
          <w:rFonts w:ascii="Times New Roman" w:hAnsi="Times New Roman" w:cs="Times New Roman"/>
          <w:sz w:val="24"/>
          <w:szCs w:val="24"/>
          <w:lang w:val="en-US"/>
        </w:rPr>
        <w:t xml:space="preserve"> a benchmark figure of GDP per capita in that case.  </w:t>
      </w:r>
      <w:r w:rsidR="00085A2A">
        <w:rPr>
          <w:rFonts w:ascii="Times New Roman" w:hAnsi="Times New Roman" w:cs="Times New Roman"/>
          <w:sz w:val="24"/>
          <w:szCs w:val="24"/>
          <w:lang w:val="en-US"/>
        </w:rPr>
        <w:t xml:space="preserve">In other </w:t>
      </w:r>
      <w:r w:rsidR="004E3D61">
        <w:rPr>
          <w:rFonts w:ascii="Times New Roman" w:hAnsi="Times New Roman" w:cs="Times New Roman"/>
          <w:sz w:val="24"/>
          <w:szCs w:val="24"/>
          <w:lang w:val="en-US"/>
        </w:rPr>
        <w:t xml:space="preserve">recent </w:t>
      </w:r>
      <w:r w:rsidR="00085A2A">
        <w:rPr>
          <w:rFonts w:ascii="Times New Roman" w:hAnsi="Times New Roman" w:cs="Times New Roman"/>
          <w:sz w:val="24"/>
          <w:szCs w:val="24"/>
          <w:lang w:val="en-US"/>
        </w:rPr>
        <w:t>health interventions</w:t>
      </w:r>
      <w:r w:rsidR="004E3D61">
        <w:rPr>
          <w:rFonts w:ascii="Times New Roman" w:hAnsi="Times New Roman" w:cs="Times New Roman"/>
          <w:sz w:val="24"/>
          <w:szCs w:val="24"/>
          <w:lang w:val="en-US"/>
        </w:rPr>
        <w:t xml:space="preserve"> in Australia</w:t>
      </w:r>
      <w:r w:rsidR="00085A2A">
        <w:rPr>
          <w:rFonts w:ascii="Times New Roman" w:hAnsi="Times New Roman" w:cs="Times New Roman"/>
          <w:sz w:val="24"/>
          <w:szCs w:val="24"/>
          <w:lang w:val="en-US"/>
        </w:rPr>
        <w:t xml:space="preserve">, </w:t>
      </w:r>
      <w:r w:rsidR="00007EB1">
        <w:rPr>
          <w:rFonts w:ascii="Times New Roman" w:hAnsi="Times New Roman" w:cs="Times New Roman"/>
          <w:sz w:val="24"/>
          <w:szCs w:val="24"/>
          <w:lang w:val="en-US"/>
        </w:rPr>
        <w:t>Cheng et al (2016)</w:t>
      </w:r>
      <w:r w:rsidR="00085A2A">
        <w:rPr>
          <w:rFonts w:ascii="Times New Roman" w:hAnsi="Times New Roman" w:cs="Times New Roman"/>
          <w:sz w:val="24"/>
          <w:szCs w:val="24"/>
          <w:lang w:val="en-US"/>
        </w:rPr>
        <w:t xml:space="preserve"> used</w:t>
      </w:r>
      <w:r w:rsidR="00007EB1">
        <w:rPr>
          <w:rFonts w:ascii="Times New Roman" w:hAnsi="Times New Roman" w:cs="Times New Roman"/>
          <w:sz w:val="24"/>
          <w:szCs w:val="24"/>
          <w:lang w:val="en-US"/>
        </w:rPr>
        <w:t xml:space="preserve"> $50,000</w:t>
      </w:r>
      <w:r w:rsidR="00D45916">
        <w:rPr>
          <w:rFonts w:ascii="Times New Roman" w:hAnsi="Times New Roman" w:cs="Times New Roman"/>
          <w:sz w:val="24"/>
          <w:szCs w:val="24"/>
          <w:lang w:val="en-US"/>
        </w:rPr>
        <w:t xml:space="preserve"> in assessing cardiac rehabilitation programs</w:t>
      </w:r>
      <w:r w:rsidR="00F20EB4">
        <w:rPr>
          <w:rFonts w:ascii="Times New Roman" w:hAnsi="Times New Roman" w:cs="Times New Roman"/>
          <w:sz w:val="24"/>
          <w:szCs w:val="24"/>
          <w:lang w:val="en-US"/>
        </w:rPr>
        <w:t xml:space="preserve"> as does</w:t>
      </w:r>
      <w:r w:rsidR="00085A2A">
        <w:rPr>
          <w:rFonts w:ascii="Times New Roman" w:hAnsi="Times New Roman" w:cs="Times New Roman"/>
          <w:sz w:val="24"/>
          <w:szCs w:val="24"/>
          <w:lang w:val="en-US"/>
        </w:rPr>
        <w:t xml:space="preserve"> </w:t>
      </w:r>
      <w:proofErr w:type="spellStart"/>
      <w:r w:rsidR="00085A2A">
        <w:rPr>
          <w:rFonts w:ascii="Times New Roman" w:hAnsi="Times New Roman" w:cs="Times New Roman"/>
          <w:sz w:val="24"/>
          <w:szCs w:val="24"/>
          <w:lang w:val="en-US"/>
        </w:rPr>
        <w:t>Kularatna</w:t>
      </w:r>
      <w:proofErr w:type="spellEnd"/>
      <w:r w:rsidR="00085A2A">
        <w:rPr>
          <w:rFonts w:ascii="Times New Roman" w:hAnsi="Times New Roman" w:cs="Times New Roman"/>
          <w:sz w:val="24"/>
          <w:szCs w:val="24"/>
          <w:lang w:val="en-US"/>
        </w:rPr>
        <w:t xml:space="preserve"> et al (2020</w:t>
      </w:r>
      <w:r w:rsidR="00CB1F42">
        <w:rPr>
          <w:rFonts w:ascii="Times New Roman" w:hAnsi="Times New Roman" w:cs="Times New Roman"/>
          <w:sz w:val="24"/>
          <w:szCs w:val="24"/>
          <w:lang w:val="en-US"/>
        </w:rPr>
        <w:t>, page 5</w:t>
      </w:r>
      <w:r w:rsidR="00085A2A">
        <w:rPr>
          <w:rFonts w:ascii="Times New Roman" w:hAnsi="Times New Roman" w:cs="Times New Roman"/>
          <w:sz w:val="24"/>
          <w:szCs w:val="24"/>
          <w:lang w:val="en-US"/>
        </w:rPr>
        <w:t>) in assessing oral health interventions</w:t>
      </w:r>
      <w:r w:rsidR="00007EB1">
        <w:rPr>
          <w:rFonts w:ascii="Times New Roman" w:hAnsi="Times New Roman" w:cs="Times New Roman"/>
          <w:sz w:val="24"/>
          <w:szCs w:val="24"/>
          <w:lang w:val="en-US"/>
        </w:rPr>
        <w:t xml:space="preserve">.  </w:t>
      </w:r>
      <w:r w:rsidR="004E6A95">
        <w:rPr>
          <w:rFonts w:ascii="Times New Roman" w:hAnsi="Times New Roman" w:cs="Times New Roman"/>
          <w:sz w:val="24"/>
          <w:szCs w:val="24"/>
          <w:lang w:val="en-US"/>
        </w:rPr>
        <w:t xml:space="preserve">Using survey evidence on willingness to pay, Huang et al (2018) estimate the value at $22,000 - $67,000 while </w:t>
      </w:r>
      <w:r w:rsidR="00A23889">
        <w:rPr>
          <w:rFonts w:ascii="Times New Roman" w:hAnsi="Times New Roman" w:cs="Times New Roman"/>
          <w:sz w:val="24"/>
          <w:szCs w:val="24"/>
          <w:lang w:val="en-US"/>
        </w:rPr>
        <w:t xml:space="preserve">Lewkowski et al (2020) </w:t>
      </w:r>
      <w:r w:rsidR="004E6A95">
        <w:rPr>
          <w:rFonts w:ascii="Times New Roman" w:hAnsi="Times New Roman" w:cs="Times New Roman"/>
          <w:sz w:val="24"/>
          <w:szCs w:val="24"/>
          <w:lang w:val="en-US"/>
        </w:rPr>
        <w:t xml:space="preserve">estimate it at </w:t>
      </w:r>
      <w:r w:rsidR="00A23889">
        <w:rPr>
          <w:rFonts w:ascii="Times New Roman" w:hAnsi="Times New Roman" w:cs="Times New Roman"/>
          <w:sz w:val="24"/>
          <w:szCs w:val="24"/>
          <w:lang w:val="en-US"/>
        </w:rPr>
        <w:t xml:space="preserve">$100,000 for men and $50,000 for women.  </w:t>
      </w:r>
      <w:r w:rsidR="00DA000E">
        <w:rPr>
          <w:rFonts w:ascii="Times New Roman" w:hAnsi="Times New Roman" w:cs="Times New Roman"/>
          <w:sz w:val="24"/>
          <w:szCs w:val="24"/>
          <w:lang w:val="en-US"/>
        </w:rPr>
        <w:t xml:space="preserve">In the interests of being conservative, </w:t>
      </w:r>
      <w:r w:rsidR="009C4DB9">
        <w:rPr>
          <w:rFonts w:ascii="Times New Roman" w:hAnsi="Times New Roman" w:cs="Times New Roman"/>
          <w:sz w:val="24"/>
          <w:szCs w:val="24"/>
          <w:lang w:val="en-US"/>
        </w:rPr>
        <w:t xml:space="preserve">I </w:t>
      </w:r>
      <w:r w:rsidR="00B224B5">
        <w:rPr>
          <w:rFonts w:ascii="Times New Roman" w:hAnsi="Times New Roman" w:cs="Times New Roman"/>
          <w:sz w:val="24"/>
          <w:szCs w:val="24"/>
          <w:lang w:val="en-US"/>
        </w:rPr>
        <w:t xml:space="preserve">favour the </w:t>
      </w:r>
      <w:r w:rsidR="00A23889">
        <w:rPr>
          <w:rFonts w:ascii="Times New Roman" w:hAnsi="Times New Roman" w:cs="Times New Roman"/>
          <w:sz w:val="24"/>
          <w:szCs w:val="24"/>
          <w:lang w:val="en-US"/>
        </w:rPr>
        <w:t xml:space="preserve">largest figure here </w:t>
      </w:r>
      <w:r w:rsidR="009C4DB9">
        <w:rPr>
          <w:rFonts w:ascii="Times New Roman" w:hAnsi="Times New Roman" w:cs="Times New Roman"/>
          <w:sz w:val="24"/>
          <w:szCs w:val="24"/>
          <w:lang w:val="en-US"/>
        </w:rPr>
        <w:t>of $100,000.</w:t>
      </w:r>
    </w:p>
    <w:p w14:paraId="5F26D9A5" w14:textId="77777777" w:rsidR="009F770F" w:rsidRDefault="009F770F" w:rsidP="008702F9">
      <w:pPr>
        <w:spacing w:after="0" w:line="360" w:lineRule="auto"/>
        <w:jc w:val="both"/>
        <w:rPr>
          <w:rFonts w:ascii="Times New Roman" w:hAnsi="Times New Roman" w:cs="Times New Roman"/>
          <w:sz w:val="24"/>
          <w:szCs w:val="24"/>
          <w:lang w:val="en-US"/>
        </w:rPr>
      </w:pPr>
    </w:p>
    <w:p w14:paraId="7078701F" w14:textId="77777777" w:rsidR="009F770F" w:rsidRDefault="009F770F" w:rsidP="009F770F">
      <w:pPr>
        <w:pStyle w:val="FootnoteText"/>
        <w:spacing w:line="360" w:lineRule="auto"/>
        <w:jc w:val="both"/>
        <w:rPr>
          <w:rFonts w:ascii="Times New Roman" w:hAnsi="Times New Roman" w:cs="Times New Roman"/>
          <w:sz w:val="24"/>
          <w:szCs w:val="24"/>
          <w:lang w:val="en-US"/>
        </w:rPr>
      </w:pPr>
      <w:r w:rsidRPr="00C27F87">
        <w:rPr>
          <w:rFonts w:ascii="Times New Roman" w:hAnsi="Times New Roman" w:cs="Times New Roman"/>
          <w:color w:val="000000"/>
          <w:sz w:val="24"/>
          <w:szCs w:val="24"/>
        </w:rPr>
        <w:t xml:space="preserve">A </w:t>
      </w:r>
      <w:r w:rsidRPr="00C27F87">
        <w:rPr>
          <w:rFonts w:ascii="Times New Roman" w:hAnsi="Times New Roman" w:cs="Times New Roman"/>
          <w:sz w:val="24"/>
          <w:szCs w:val="24"/>
          <w:lang w:val="en-US"/>
        </w:rPr>
        <w:t>related concept is the “Value of a Statistical Life” (VSL), which values all lost years of an average aged person’s life</w:t>
      </w:r>
      <w:r>
        <w:rPr>
          <w:rFonts w:ascii="Times New Roman" w:hAnsi="Times New Roman" w:cs="Times New Roman"/>
          <w:sz w:val="24"/>
          <w:szCs w:val="24"/>
          <w:lang w:val="en-US"/>
        </w:rPr>
        <w:t xml:space="preserve">.  This is </w:t>
      </w:r>
      <w:r w:rsidR="007C20DB">
        <w:rPr>
          <w:rFonts w:ascii="Times New Roman" w:hAnsi="Times New Roman" w:cs="Times New Roman"/>
          <w:sz w:val="24"/>
          <w:szCs w:val="24"/>
          <w:lang w:val="en-US"/>
        </w:rPr>
        <w:t xml:space="preserve">recommended </w:t>
      </w:r>
      <w:r>
        <w:rPr>
          <w:rFonts w:ascii="Times New Roman" w:hAnsi="Times New Roman" w:cs="Times New Roman"/>
          <w:sz w:val="24"/>
          <w:szCs w:val="24"/>
          <w:lang w:val="en-US"/>
        </w:rPr>
        <w:t>in decisions on reducing physical harm, such as in traffic safety and occupational safety</w:t>
      </w:r>
      <w:r w:rsidR="00A125B8">
        <w:rPr>
          <w:rFonts w:ascii="Times New Roman" w:hAnsi="Times New Roman" w:cs="Times New Roman"/>
          <w:sz w:val="24"/>
          <w:szCs w:val="24"/>
          <w:lang w:val="en-US"/>
        </w:rPr>
        <w:t xml:space="preserve">, </w:t>
      </w:r>
      <w:r>
        <w:rPr>
          <w:rFonts w:ascii="Times New Roman" w:hAnsi="Times New Roman" w:cs="Times New Roman"/>
          <w:sz w:val="24"/>
          <w:szCs w:val="24"/>
          <w:lang w:val="en-US"/>
        </w:rPr>
        <w:t>and the current value is $4.9m (Office of Best Practice Regulation, 2019</w:t>
      </w:r>
      <w:r w:rsidR="00A125B8">
        <w:rPr>
          <w:rFonts w:ascii="Times New Roman" w:hAnsi="Times New Roman" w:cs="Times New Roman"/>
          <w:sz w:val="24"/>
          <w:szCs w:val="24"/>
          <w:lang w:val="en-US"/>
        </w:rPr>
        <w:t>, page 2</w:t>
      </w:r>
      <w:r>
        <w:rPr>
          <w:rFonts w:ascii="Times New Roman" w:hAnsi="Times New Roman" w:cs="Times New Roman"/>
          <w:sz w:val="24"/>
          <w:szCs w:val="24"/>
          <w:lang w:val="en-US"/>
        </w:rPr>
        <w:t xml:space="preserve">).  </w:t>
      </w:r>
      <w:r w:rsidR="008B659B">
        <w:rPr>
          <w:rFonts w:ascii="Times New Roman" w:hAnsi="Times New Roman" w:cs="Times New Roman"/>
          <w:sz w:val="24"/>
          <w:szCs w:val="24"/>
          <w:lang w:val="en-US"/>
        </w:rPr>
        <w:t xml:space="preserve">This figure is derived from Abelson (2008), who recommends </w:t>
      </w:r>
      <w:r w:rsidR="0054056F">
        <w:rPr>
          <w:rFonts w:ascii="Times New Roman" w:hAnsi="Times New Roman" w:cs="Times New Roman"/>
          <w:sz w:val="24"/>
          <w:szCs w:val="24"/>
          <w:lang w:val="en-US"/>
        </w:rPr>
        <w:t xml:space="preserve">use of its </w:t>
      </w:r>
      <w:r w:rsidR="008B659B">
        <w:rPr>
          <w:rFonts w:ascii="Times New Roman" w:hAnsi="Times New Roman" w:cs="Times New Roman"/>
          <w:sz w:val="24"/>
          <w:szCs w:val="24"/>
          <w:lang w:val="en-US"/>
        </w:rPr>
        <w:t xml:space="preserve">annual equivalent (the Value of a Life Year or VSL: ibid, page 16), which is performed for </w:t>
      </w:r>
      <w:r w:rsidR="00D328AA">
        <w:rPr>
          <w:rFonts w:ascii="Times New Roman" w:hAnsi="Times New Roman" w:cs="Times New Roman"/>
          <w:sz w:val="24"/>
          <w:szCs w:val="24"/>
          <w:lang w:val="en-US"/>
        </w:rPr>
        <w:t xml:space="preserve">a </w:t>
      </w:r>
      <w:r w:rsidR="008B659B">
        <w:rPr>
          <w:rFonts w:ascii="Times New Roman" w:hAnsi="Times New Roman" w:cs="Times New Roman"/>
          <w:sz w:val="24"/>
          <w:szCs w:val="24"/>
          <w:lang w:val="en-US"/>
        </w:rPr>
        <w:t xml:space="preserve">person with a 40-year residual life span using a discount rate of 3% (ibid, page 3).  Abelson’s </w:t>
      </w:r>
      <w:r w:rsidR="00937B9C">
        <w:rPr>
          <w:rFonts w:ascii="Times New Roman" w:hAnsi="Times New Roman" w:cs="Times New Roman"/>
          <w:sz w:val="24"/>
          <w:szCs w:val="24"/>
          <w:lang w:val="en-US"/>
        </w:rPr>
        <w:t xml:space="preserve">(2008) </w:t>
      </w:r>
      <w:r w:rsidR="008B659B">
        <w:rPr>
          <w:rFonts w:ascii="Times New Roman" w:hAnsi="Times New Roman" w:cs="Times New Roman"/>
          <w:sz w:val="24"/>
          <w:szCs w:val="24"/>
          <w:lang w:val="en-US"/>
        </w:rPr>
        <w:t xml:space="preserve">use of a 40-year residual life span presumably </w:t>
      </w:r>
      <w:r w:rsidR="009A7F9F">
        <w:rPr>
          <w:rFonts w:ascii="Times New Roman" w:hAnsi="Times New Roman" w:cs="Times New Roman"/>
          <w:sz w:val="24"/>
          <w:szCs w:val="24"/>
          <w:lang w:val="en-US"/>
        </w:rPr>
        <w:t xml:space="preserve">arose from it representing </w:t>
      </w:r>
      <w:r w:rsidR="008B659B">
        <w:rPr>
          <w:rFonts w:ascii="Times New Roman" w:hAnsi="Times New Roman" w:cs="Times New Roman"/>
          <w:sz w:val="24"/>
          <w:szCs w:val="24"/>
          <w:lang w:val="en-US"/>
        </w:rPr>
        <w:t>half of the life expectancy of an Australian (at birth) at that time.  This life expectancy is now 41.4 years.</w:t>
      </w:r>
      <w:r w:rsidR="008B659B">
        <w:rPr>
          <w:rStyle w:val="FootnoteReference"/>
          <w:rFonts w:ascii="Times New Roman" w:hAnsi="Times New Roman" w:cs="Times New Roman"/>
          <w:sz w:val="24"/>
          <w:szCs w:val="24"/>
          <w:lang w:val="en-US"/>
        </w:rPr>
        <w:footnoteReference w:id="26"/>
      </w:r>
      <w:r w:rsidR="008B659B">
        <w:rPr>
          <w:rFonts w:ascii="Times New Roman" w:hAnsi="Times New Roman" w:cs="Times New Roman"/>
          <w:sz w:val="24"/>
          <w:szCs w:val="24"/>
          <w:lang w:val="en-US"/>
        </w:rPr>
        <w:t xml:space="preserve">  Furthermore, Abelson’s discount rate of 3% presumably reflected market discount rates at that time.  These are now considerably lower.  In respect of </w:t>
      </w:r>
      <w:r w:rsidR="008B659B">
        <w:rPr>
          <w:rFonts w:ascii="Times New Roman" w:hAnsi="Times New Roman" w:cs="Times New Roman"/>
          <w:sz w:val="24"/>
          <w:szCs w:val="24"/>
          <w:lang w:val="en-US"/>
        </w:rPr>
        <w:lastRenderedPageBreak/>
        <w:t xml:space="preserve">New Zealand, </w:t>
      </w:r>
      <w:proofErr w:type="spellStart"/>
      <w:r w:rsidR="008B659B">
        <w:rPr>
          <w:rFonts w:ascii="Times New Roman" w:hAnsi="Times New Roman" w:cs="Times New Roman"/>
          <w:sz w:val="24"/>
          <w:szCs w:val="24"/>
          <w:lang w:val="en-US"/>
        </w:rPr>
        <w:t>Pharmac</w:t>
      </w:r>
      <w:proofErr w:type="spellEnd"/>
      <w:r w:rsidR="008B659B">
        <w:rPr>
          <w:rFonts w:ascii="Times New Roman" w:hAnsi="Times New Roman" w:cs="Times New Roman"/>
          <w:sz w:val="24"/>
          <w:szCs w:val="24"/>
          <w:lang w:val="en-US"/>
        </w:rPr>
        <w:t xml:space="preserve"> (2015, pp. 51-52) recommended that all costs and benefits in health expenditure assessments be discounted by 3.5% per year, based on the five-year average real government bond rate.  </w:t>
      </w:r>
      <w:r w:rsidR="00A8718C">
        <w:rPr>
          <w:rFonts w:ascii="Times New Roman" w:hAnsi="Times New Roman" w:cs="Times New Roman"/>
          <w:sz w:val="24"/>
          <w:szCs w:val="24"/>
          <w:lang w:val="en-US"/>
        </w:rPr>
        <w:t xml:space="preserve">Following this, I use the </w:t>
      </w:r>
      <w:r w:rsidR="00754835">
        <w:rPr>
          <w:rFonts w:ascii="Times New Roman" w:hAnsi="Times New Roman" w:cs="Times New Roman"/>
          <w:sz w:val="24"/>
          <w:szCs w:val="24"/>
          <w:lang w:val="en-US"/>
        </w:rPr>
        <w:t xml:space="preserve">average yield on ten-year inflation-indexed </w:t>
      </w:r>
      <w:r w:rsidR="00A8718C">
        <w:rPr>
          <w:rFonts w:ascii="Times New Roman" w:hAnsi="Times New Roman" w:cs="Times New Roman"/>
          <w:sz w:val="24"/>
          <w:szCs w:val="24"/>
          <w:lang w:val="en-US"/>
        </w:rPr>
        <w:t xml:space="preserve">Australian government </w:t>
      </w:r>
      <w:r w:rsidR="00754835">
        <w:rPr>
          <w:rFonts w:ascii="Times New Roman" w:hAnsi="Times New Roman" w:cs="Times New Roman"/>
          <w:sz w:val="24"/>
          <w:szCs w:val="24"/>
          <w:lang w:val="en-US"/>
        </w:rPr>
        <w:t>bonds over the last five years (January 2016 to December 2020)</w:t>
      </w:r>
      <w:r w:rsidR="00A8718C">
        <w:rPr>
          <w:rFonts w:ascii="Times New Roman" w:hAnsi="Times New Roman" w:cs="Times New Roman"/>
          <w:sz w:val="24"/>
          <w:szCs w:val="24"/>
          <w:lang w:val="en-US"/>
        </w:rPr>
        <w:t xml:space="preserve">, of </w:t>
      </w:r>
      <w:r w:rsidR="00754835">
        <w:rPr>
          <w:rFonts w:ascii="Times New Roman" w:hAnsi="Times New Roman" w:cs="Times New Roman"/>
          <w:sz w:val="24"/>
          <w:szCs w:val="24"/>
          <w:lang w:val="en-US"/>
        </w:rPr>
        <w:t>0.75%.</w:t>
      </w:r>
      <w:r w:rsidR="00754835">
        <w:rPr>
          <w:rStyle w:val="FootnoteReference"/>
          <w:rFonts w:ascii="Times New Roman" w:hAnsi="Times New Roman" w:cs="Times New Roman"/>
          <w:sz w:val="24"/>
          <w:szCs w:val="24"/>
          <w:lang w:val="en-US"/>
        </w:rPr>
        <w:footnoteReference w:id="27"/>
      </w:r>
      <w:r w:rsidR="0075483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Applying </w:t>
      </w:r>
      <w:r w:rsidR="008B659B">
        <w:rPr>
          <w:rFonts w:ascii="Times New Roman" w:hAnsi="Times New Roman" w:cs="Times New Roman"/>
          <w:sz w:val="24"/>
          <w:szCs w:val="24"/>
          <w:lang w:val="en-US"/>
        </w:rPr>
        <w:t xml:space="preserve">this </w:t>
      </w:r>
      <w:r w:rsidR="003827F2">
        <w:rPr>
          <w:rFonts w:ascii="Times New Roman" w:hAnsi="Times New Roman" w:cs="Times New Roman"/>
          <w:sz w:val="24"/>
          <w:szCs w:val="24"/>
          <w:lang w:val="en-US"/>
        </w:rPr>
        <w:t>discount rate of 0.75%</w:t>
      </w:r>
      <w:r>
        <w:rPr>
          <w:rFonts w:ascii="Times New Roman" w:hAnsi="Times New Roman" w:cs="Times New Roman"/>
          <w:sz w:val="24"/>
          <w:szCs w:val="24"/>
          <w:lang w:val="en-US"/>
        </w:rPr>
        <w:t xml:space="preserve">, the </w:t>
      </w:r>
      <w:r w:rsidR="00754835">
        <w:rPr>
          <w:rFonts w:ascii="Times New Roman" w:hAnsi="Times New Roman" w:cs="Times New Roman"/>
          <w:sz w:val="24"/>
          <w:szCs w:val="24"/>
          <w:lang w:val="en-US"/>
        </w:rPr>
        <w:t>VLY would be</w:t>
      </w:r>
      <w:r>
        <w:rPr>
          <w:rFonts w:ascii="Times New Roman" w:hAnsi="Times New Roman" w:cs="Times New Roman"/>
          <w:sz w:val="24"/>
          <w:szCs w:val="24"/>
          <w:lang w:val="en-US"/>
        </w:rPr>
        <w:t xml:space="preserve"> such that</w:t>
      </w:r>
    </w:p>
    <w:p w14:paraId="577245A7" w14:textId="77777777" w:rsidR="00AB13CF" w:rsidRDefault="00AB13CF" w:rsidP="009F770F">
      <w:pPr>
        <w:pStyle w:val="FootnoteText"/>
        <w:spacing w:line="360" w:lineRule="auto"/>
        <w:jc w:val="both"/>
        <w:rPr>
          <w:rFonts w:ascii="Times New Roman" w:hAnsi="Times New Roman" w:cs="Times New Roman"/>
          <w:sz w:val="24"/>
          <w:szCs w:val="24"/>
          <w:lang w:val="en-US"/>
        </w:rPr>
      </w:pPr>
    </w:p>
    <w:p w14:paraId="55E70330" w14:textId="77777777" w:rsidR="009F770F" w:rsidRDefault="008B659B" w:rsidP="009F770F">
      <w:pPr>
        <w:pStyle w:val="FootnoteText"/>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$4.9m=</m:t>
          </m:r>
          <m:f>
            <m:fPr>
              <m:ctrlPr>
                <w:rPr>
                  <w:rFonts w:ascii="Cambria Math" w:hAnsi="Cambria Math" w:cs="Times New Roman"/>
                  <w:i/>
                  <w:sz w:val="24"/>
                  <w:szCs w:val="24"/>
                  <w:lang w:val="en-US"/>
                </w:rPr>
              </m:ctrlPr>
            </m:fPr>
            <m:num>
              <m:r>
                <w:rPr>
                  <w:rFonts w:ascii="Cambria Math" w:hAnsi="Cambria Math" w:cs="Times New Roman"/>
                  <w:sz w:val="24"/>
                  <w:szCs w:val="24"/>
                  <w:lang w:val="en-US"/>
                </w:rPr>
                <m:t>VLY</m:t>
              </m:r>
            </m:num>
            <m:den>
              <m:r>
                <w:rPr>
                  <w:rFonts w:ascii="Cambria Math" w:hAnsi="Cambria Math" w:cs="Times New Roman"/>
                  <w:sz w:val="24"/>
                  <w:szCs w:val="24"/>
                  <w:lang w:val="en-US"/>
                </w:rPr>
                <m:t>1.0075</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VLY</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(1.0075)</m:t>
                  </m:r>
                </m:e>
                <m:sup>
                  <m:r>
                    <w:rPr>
                      <w:rFonts w:ascii="Cambria Math" w:hAnsi="Cambria Math" w:cs="Times New Roman"/>
                      <w:sz w:val="24"/>
                      <w:szCs w:val="24"/>
                      <w:lang w:val="en-US"/>
                    </w:rPr>
                    <m:t>41</m:t>
                  </m:r>
                </m:sup>
              </m:sSup>
            </m:den>
          </m:f>
        </m:oMath>
      </m:oMathPara>
    </w:p>
    <w:p w14:paraId="1A723B61" w14:textId="77777777" w:rsidR="009F770F" w:rsidRDefault="009F770F" w:rsidP="009F770F">
      <w:pPr>
        <w:pStyle w:val="FootnoteText"/>
        <w:spacing w:line="360" w:lineRule="auto"/>
        <w:jc w:val="both"/>
        <w:rPr>
          <w:rFonts w:ascii="Times New Roman" w:hAnsi="Times New Roman" w:cs="Times New Roman"/>
          <w:sz w:val="24"/>
          <w:szCs w:val="24"/>
          <w:lang w:val="en-US"/>
        </w:rPr>
      </w:pPr>
    </w:p>
    <w:p w14:paraId="2B5CC424" w14:textId="77777777" w:rsidR="009F770F" w:rsidRDefault="009F770F" w:rsidP="009F770F">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is </w:t>
      </w:r>
      <w:r w:rsidR="00941E13" w:rsidRPr="007C20DB">
        <w:rPr>
          <w:rFonts w:ascii="Times New Roman" w:hAnsi="Times New Roman" w:cs="Times New Roman"/>
          <w:sz w:val="24"/>
          <w:szCs w:val="24"/>
          <w:lang w:val="en-US"/>
        </w:rPr>
        <w:t>VLY</w:t>
      </w:r>
      <w:r>
        <w:rPr>
          <w:rFonts w:ascii="Times New Roman" w:hAnsi="Times New Roman" w:cs="Times New Roman"/>
          <w:sz w:val="24"/>
          <w:szCs w:val="24"/>
          <w:lang w:val="en-US"/>
        </w:rPr>
        <w:t xml:space="preserve"> = $1</w:t>
      </w:r>
      <w:r w:rsidR="00754835">
        <w:rPr>
          <w:rFonts w:ascii="Times New Roman" w:hAnsi="Times New Roman" w:cs="Times New Roman"/>
          <w:sz w:val="24"/>
          <w:szCs w:val="24"/>
          <w:lang w:val="en-US"/>
        </w:rPr>
        <w:t>41</w:t>
      </w:r>
      <w:r>
        <w:rPr>
          <w:rFonts w:ascii="Times New Roman" w:hAnsi="Times New Roman" w:cs="Times New Roman"/>
          <w:sz w:val="24"/>
          <w:szCs w:val="24"/>
          <w:lang w:val="en-US"/>
        </w:rPr>
        <w:t xml:space="preserve">,000.  </w:t>
      </w:r>
      <w:r w:rsidR="006C269C">
        <w:rPr>
          <w:rFonts w:ascii="Times New Roman" w:hAnsi="Times New Roman" w:cs="Times New Roman"/>
          <w:sz w:val="24"/>
          <w:szCs w:val="24"/>
          <w:lang w:val="en-US"/>
        </w:rPr>
        <w:t xml:space="preserve">By contrast, the Office of Best Practice Regulation (2019, page 2) recommends $213,000, derived using a 40-year period and a discount rate of 3%.  </w:t>
      </w:r>
      <w:proofErr w:type="spellStart"/>
      <w:r w:rsidR="00EE1610">
        <w:rPr>
          <w:rFonts w:ascii="Times New Roman" w:hAnsi="Times New Roman" w:cs="Times New Roman"/>
          <w:sz w:val="24"/>
          <w:szCs w:val="24"/>
          <w:lang w:val="en-US"/>
        </w:rPr>
        <w:t>Kompas</w:t>
      </w:r>
      <w:proofErr w:type="spellEnd"/>
      <w:r w:rsidR="00EE1610">
        <w:rPr>
          <w:rFonts w:ascii="Times New Roman" w:hAnsi="Times New Roman" w:cs="Times New Roman"/>
          <w:sz w:val="24"/>
          <w:szCs w:val="24"/>
          <w:lang w:val="en-US"/>
        </w:rPr>
        <w:t xml:space="preserve"> et al (2020) uses this </w:t>
      </w:r>
      <w:r w:rsidR="00E14CF9">
        <w:rPr>
          <w:rFonts w:ascii="Times New Roman" w:hAnsi="Times New Roman" w:cs="Times New Roman"/>
          <w:sz w:val="24"/>
          <w:szCs w:val="24"/>
          <w:lang w:val="en-US"/>
        </w:rPr>
        <w:t xml:space="preserve">latter </w:t>
      </w:r>
      <w:r w:rsidR="00EE1610">
        <w:rPr>
          <w:rFonts w:ascii="Times New Roman" w:hAnsi="Times New Roman" w:cs="Times New Roman"/>
          <w:sz w:val="24"/>
          <w:szCs w:val="24"/>
          <w:lang w:val="en-US"/>
        </w:rPr>
        <w:t xml:space="preserve">figure.  </w:t>
      </w:r>
      <w:r w:rsidR="00B35E5D">
        <w:rPr>
          <w:rFonts w:ascii="Times New Roman" w:hAnsi="Times New Roman" w:cs="Times New Roman"/>
          <w:sz w:val="24"/>
          <w:szCs w:val="24"/>
          <w:lang w:val="en-US"/>
        </w:rPr>
        <w:t xml:space="preserve">In </w:t>
      </w:r>
      <w:r w:rsidR="00EE1610">
        <w:rPr>
          <w:rFonts w:ascii="Times New Roman" w:hAnsi="Times New Roman" w:cs="Times New Roman"/>
          <w:sz w:val="24"/>
          <w:szCs w:val="24"/>
          <w:lang w:val="en-US"/>
        </w:rPr>
        <w:t xml:space="preserve">choosing between </w:t>
      </w:r>
      <w:r w:rsidR="00E14CF9">
        <w:rPr>
          <w:rFonts w:ascii="Times New Roman" w:hAnsi="Times New Roman" w:cs="Times New Roman"/>
          <w:sz w:val="24"/>
          <w:szCs w:val="24"/>
          <w:lang w:val="en-US"/>
        </w:rPr>
        <w:t xml:space="preserve">a </w:t>
      </w:r>
      <w:r w:rsidR="00941E13">
        <w:rPr>
          <w:rFonts w:ascii="Times New Roman" w:hAnsi="Times New Roman" w:cs="Times New Roman"/>
          <w:sz w:val="24"/>
          <w:szCs w:val="24"/>
          <w:lang w:val="en-US"/>
        </w:rPr>
        <w:t>VLY</w:t>
      </w:r>
      <w:r w:rsidR="00B224B5">
        <w:rPr>
          <w:rFonts w:ascii="Times New Roman" w:hAnsi="Times New Roman" w:cs="Times New Roman"/>
          <w:sz w:val="24"/>
          <w:szCs w:val="24"/>
          <w:lang w:val="en-US"/>
        </w:rPr>
        <w:t xml:space="preserve"> </w:t>
      </w:r>
      <w:r w:rsidR="00EE1610">
        <w:rPr>
          <w:rFonts w:ascii="Times New Roman" w:hAnsi="Times New Roman" w:cs="Times New Roman"/>
          <w:sz w:val="24"/>
          <w:szCs w:val="24"/>
          <w:lang w:val="en-US"/>
        </w:rPr>
        <w:t xml:space="preserve">and the </w:t>
      </w:r>
      <w:r w:rsidR="00B224B5">
        <w:rPr>
          <w:rFonts w:ascii="Times New Roman" w:hAnsi="Times New Roman" w:cs="Times New Roman"/>
          <w:sz w:val="24"/>
          <w:szCs w:val="24"/>
          <w:lang w:val="en-US"/>
        </w:rPr>
        <w:t xml:space="preserve">value of a QALY, </w:t>
      </w:r>
      <w:r>
        <w:rPr>
          <w:rFonts w:ascii="Times New Roman" w:hAnsi="Times New Roman" w:cs="Times New Roman"/>
          <w:sz w:val="24"/>
          <w:szCs w:val="24"/>
          <w:lang w:val="en-US"/>
        </w:rPr>
        <w:t xml:space="preserve">Gros (2020, page 6) </w:t>
      </w:r>
      <w:proofErr w:type="spellStart"/>
      <w:r w:rsidR="00B35E5D">
        <w:rPr>
          <w:rFonts w:ascii="Times New Roman" w:hAnsi="Times New Roman" w:cs="Times New Roman"/>
          <w:sz w:val="24"/>
          <w:szCs w:val="24"/>
          <w:lang w:val="en-US"/>
        </w:rPr>
        <w:t>favours</w:t>
      </w:r>
      <w:proofErr w:type="spellEnd"/>
      <w:r w:rsidR="00B35E5D">
        <w:rPr>
          <w:rFonts w:ascii="Times New Roman" w:hAnsi="Times New Roman" w:cs="Times New Roman"/>
          <w:sz w:val="24"/>
          <w:szCs w:val="24"/>
          <w:lang w:val="en-US"/>
        </w:rPr>
        <w:t xml:space="preserve"> the latter because it is </w:t>
      </w:r>
      <w:r>
        <w:rPr>
          <w:rFonts w:ascii="Times New Roman" w:hAnsi="Times New Roman" w:cs="Times New Roman"/>
          <w:sz w:val="24"/>
          <w:szCs w:val="24"/>
          <w:lang w:val="en-US"/>
        </w:rPr>
        <w:t xml:space="preserve">the approach that is “practiced routinely by the medical profession” </w:t>
      </w:r>
      <w:r w:rsidR="00B35E5D">
        <w:rPr>
          <w:rFonts w:ascii="Times New Roman" w:hAnsi="Times New Roman" w:cs="Times New Roman"/>
          <w:sz w:val="24"/>
          <w:szCs w:val="24"/>
          <w:lang w:val="en-US"/>
        </w:rPr>
        <w:t xml:space="preserve">whilst </w:t>
      </w:r>
      <w:r>
        <w:rPr>
          <w:rFonts w:ascii="Times New Roman" w:hAnsi="Times New Roman" w:cs="Times New Roman"/>
          <w:sz w:val="24"/>
          <w:szCs w:val="24"/>
          <w:lang w:val="en-US"/>
        </w:rPr>
        <w:t xml:space="preserve">Miles at </w:t>
      </w:r>
      <w:proofErr w:type="spellStart"/>
      <w:r>
        <w:rPr>
          <w:rFonts w:ascii="Times New Roman" w:hAnsi="Times New Roman" w:cs="Times New Roman"/>
          <w:sz w:val="24"/>
          <w:szCs w:val="24"/>
          <w:lang w:val="en-US"/>
        </w:rPr>
        <w:t>al</w:t>
      </w:r>
      <w:proofErr w:type="spellEnd"/>
      <w:r>
        <w:rPr>
          <w:rFonts w:ascii="Times New Roman" w:hAnsi="Times New Roman" w:cs="Times New Roman"/>
          <w:sz w:val="24"/>
          <w:szCs w:val="24"/>
          <w:lang w:val="en-US"/>
        </w:rPr>
        <w:t xml:space="preserve"> (2020, page 76) </w:t>
      </w:r>
      <w:r w:rsidR="00B35E5D">
        <w:rPr>
          <w:rFonts w:ascii="Times New Roman" w:hAnsi="Times New Roman" w:cs="Times New Roman"/>
          <w:sz w:val="24"/>
          <w:szCs w:val="24"/>
          <w:lang w:val="en-US"/>
        </w:rPr>
        <w:t xml:space="preserve">also </w:t>
      </w:r>
      <w:proofErr w:type="spellStart"/>
      <w:r w:rsidR="00B35E5D">
        <w:rPr>
          <w:rFonts w:ascii="Times New Roman" w:hAnsi="Times New Roman" w:cs="Times New Roman"/>
          <w:sz w:val="24"/>
          <w:szCs w:val="24"/>
          <w:lang w:val="en-US"/>
        </w:rPr>
        <w:t>favours</w:t>
      </w:r>
      <w:proofErr w:type="spellEnd"/>
      <w:r w:rsidR="00B35E5D">
        <w:rPr>
          <w:rFonts w:ascii="Times New Roman" w:hAnsi="Times New Roman" w:cs="Times New Roman"/>
          <w:sz w:val="24"/>
          <w:szCs w:val="24"/>
          <w:lang w:val="en-US"/>
        </w:rPr>
        <w:t xml:space="preserve"> it because it </w:t>
      </w:r>
      <w:r>
        <w:rPr>
          <w:rFonts w:ascii="Times New Roman" w:hAnsi="Times New Roman" w:cs="Times New Roman"/>
          <w:sz w:val="24"/>
          <w:szCs w:val="24"/>
          <w:lang w:val="en-US"/>
        </w:rPr>
        <w:t xml:space="preserve">is consistent with the approach to other health expenditures.  </w:t>
      </w:r>
      <w:r w:rsidR="0047593B">
        <w:rPr>
          <w:rFonts w:ascii="Times New Roman" w:hAnsi="Times New Roman" w:cs="Times New Roman"/>
          <w:sz w:val="24"/>
          <w:szCs w:val="24"/>
          <w:lang w:val="en-US"/>
        </w:rPr>
        <w:t xml:space="preserve">I </w:t>
      </w:r>
      <w:r w:rsidR="00EE1610">
        <w:rPr>
          <w:rFonts w:ascii="Times New Roman" w:hAnsi="Times New Roman" w:cs="Times New Roman"/>
          <w:sz w:val="24"/>
          <w:szCs w:val="24"/>
          <w:lang w:val="en-US"/>
        </w:rPr>
        <w:t xml:space="preserve">concur and </w:t>
      </w:r>
      <w:r w:rsidR="0047593B">
        <w:rPr>
          <w:rFonts w:ascii="Times New Roman" w:hAnsi="Times New Roman" w:cs="Times New Roman"/>
          <w:sz w:val="24"/>
          <w:szCs w:val="24"/>
          <w:lang w:val="en-US"/>
        </w:rPr>
        <w:t xml:space="preserve">therefore </w:t>
      </w:r>
      <w:r>
        <w:rPr>
          <w:rFonts w:ascii="Times New Roman" w:hAnsi="Times New Roman" w:cs="Times New Roman"/>
          <w:sz w:val="24"/>
          <w:szCs w:val="24"/>
          <w:lang w:val="en-US"/>
        </w:rPr>
        <w:t>favour</w:t>
      </w:r>
      <w:r w:rsidR="00941E13">
        <w:rPr>
          <w:rFonts w:ascii="Times New Roman" w:hAnsi="Times New Roman" w:cs="Times New Roman"/>
          <w:sz w:val="24"/>
          <w:szCs w:val="24"/>
          <w:lang w:val="en-US"/>
        </w:rPr>
        <w:t xml:space="preserve"> a QALY value of $100,000</w:t>
      </w:r>
      <w:r>
        <w:rPr>
          <w:rFonts w:ascii="Times New Roman" w:hAnsi="Times New Roman" w:cs="Times New Roman"/>
          <w:sz w:val="24"/>
          <w:szCs w:val="24"/>
          <w:lang w:val="en-US"/>
        </w:rPr>
        <w:t>.</w:t>
      </w:r>
    </w:p>
    <w:p w14:paraId="20DD72FF" w14:textId="77777777" w:rsidR="009F770F" w:rsidRPr="0021004F" w:rsidRDefault="009F770F" w:rsidP="009F770F">
      <w:pPr>
        <w:pStyle w:val="FootnoteText"/>
        <w:spacing w:line="360" w:lineRule="auto"/>
        <w:jc w:val="both"/>
        <w:rPr>
          <w:rFonts w:ascii="Times New Roman" w:hAnsi="Times New Roman" w:cs="Times New Roman"/>
          <w:sz w:val="24"/>
          <w:szCs w:val="24"/>
          <w:lang w:val="en-US"/>
        </w:rPr>
      </w:pPr>
    </w:p>
    <w:p w14:paraId="6A9152E9" w14:textId="77777777" w:rsidR="009F770F" w:rsidRPr="0021004F" w:rsidRDefault="009F770F" w:rsidP="009F770F">
      <w:pPr>
        <w:pStyle w:val="FootnoteText"/>
        <w:spacing w:line="360" w:lineRule="auto"/>
        <w:jc w:val="both"/>
        <w:rPr>
          <w:rFonts w:ascii="Times New Roman" w:hAnsi="Times New Roman" w:cs="Times New Roman"/>
          <w:sz w:val="24"/>
          <w:szCs w:val="24"/>
          <w:lang w:val="en-US"/>
        </w:rPr>
      </w:pPr>
      <w:r w:rsidRPr="0021004F">
        <w:rPr>
          <w:rFonts w:ascii="Times New Roman" w:hAnsi="Times New Roman" w:cs="Times New Roman"/>
          <w:sz w:val="24"/>
          <w:szCs w:val="24"/>
          <w:lang w:val="en-US"/>
        </w:rPr>
        <w:t>Interestingly, some analyses of the Covid-19 issue have been conduc</w:t>
      </w:r>
      <w:r w:rsidR="003827F2">
        <w:rPr>
          <w:rFonts w:ascii="Times New Roman" w:hAnsi="Times New Roman" w:cs="Times New Roman"/>
          <w:sz w:val="24"/>
          <w:szCs w:val="24"/>
          <w:lang w:val="en-US"/>
        </w:rPr>
        <w:t xml:space="preserve">ted by simply </w:t>
      </w:r>
      <w:r w:rsidR="000102F5">
        <w:rPr>
          <w:rFonts w:ascii="Times New Roman" w:hAnsi="Times New Roman" w:cs="Times New Roman"/>
          <w:sz w:val="24"/>
          <w:szCs w:val="24"/>
          <w:lang w:val="en-US"/>
        </w:rPr>
        <w:t xml:space="preserve">coupling the </w:t>
      </w:r>
      <w:r w:rsidR="003827F2">
        <w:rPr>
          <w:rFonts w:ascii="Times New Roman" w:hAnsi="Times New Roman" w:cs="Times New Roman"/>
          <w:sz w:val="24"/>
          <w:szCs w:val="24"/>
          <w:lang w:val="en-US"/>
        </w:rPr>
        <w:t>V</w:t>
      </w:r>
      <w:r w:rsidRPr="0021004F">
        <w:rPr>
          <w:rFonts w:ascii="Times New Roman" w:hAnsi="Times New Roman" w:cs="Times New Roman"/>
          <w:sz w:val="24"/>
          <w:szCs w:val="24"/>
          <w:lang w:val="en-US"/>
        </w:rPr>
        <w:t xml:space="preserve">SL by the expected </w:t>
      </w:r>
      <w:r w:rsidR="000102F5">
        <w:rPr>
          <w:rFonts w:ascii="Times New Roman" w:hAnsi="Times New Roman" w:cs="Times New Roman"/>
          <w:sz w:val="24"/>
          <w:szCs w:val="24"/>
          <w:lang w:val="en-US"/>
        </w:rPr>
        <w:t>number of lives saved</w:t>
      </w:r>
      <w:r w:rsidRPr="0021004F">
        <w:rPr>
          <w:rFonts w:ascii="Times New Roman" w:hAnsi="Times New Roman" w:cs="Times New Roman"/>
          <w:sz w:val="24"/>
          <w:szCs w:val="24"/>
          <w:lang w:val="en-US"/>
        </w:rPr>
        <w:t xml:space="preserve"> </w:t>
      </w:r>
      <w:r w:rsidR="007C32B1">
        <w:rPr>
          <w:rFonts w:ascii="Times New Roman" w:hAnsi="Times New Roman" w:cs="Times New Roman"/>
          <w:sz w:val="24"/>
          <w:szCs w:val="24"/>
          <w:lang w:val="en-US"/>
        </w:rPr>
        <w:t xml:space="preserve">rather than coupling the value of a QALY or a VLY with the expected number of (quality adjusted) life years saved </w:t>
      </w:r>
      <w:r w:rsidRPr="0021004F">
        <w:rPr>
          <w:rFonts w:ascii="Times New Roman" w:hAnsi="Times New Roman" w:cs="Times New Roman"/>
          <w:sz w:val="24"/>
          <w:szCs w:val="24"/>
          <w:lang w:val="en-US"/>
        </w:rPr>
        <w:t xml:space="preserve">(for example, </w:t>
      </w:r>
      <w:r>
        <w:rPr>
          <w:rFonts w:ascii="Times New Roman" w:hAnsi="Times New Roman" w:cs="Times New Roman"/>
          <w:sz w:val="24"/>
          <w:szCs w:val="24"/>
          <w:lang w:val="en-US"/>
        </w:rPr>
        <w:t xml:space="preserve">Chapple, 2020; </w:t>
      </w:r>
      <w:r w:rsidRPr="0021004F">
        <w:rPr>
          <w:rFonts w:ascii="Times New Roman" w:hAnsi="Times New Roman" w:cs="Times New Roman"/>
          <w:sz w:val="24"/>
          <w:szCs w:val="24"/>
          <w:lang w:val="en-US"/>
        </w:rPr>
        <w:t>Thunstrom, 2020; Holden and Prest</w:t>
      </w:r>
      <w:r w:rsidR="004F7E89">
        <w:rPr>
          <w:rFonts w:ascii="Times New Roman" w:hAnsi="Times New Roman" w:cs="Times New Roman"/>
          <w:sz w:val="24"/>
          <w:szCs w:val="24"/>
          <w:lang w:val="en-US"/>
        </w:rPr>
        <w:t xml:space="preserve">on, 2020).  This may reflect a belief </w:t>
      </w:r>
      <w:r w:rsidRPr="0021004F">
        <w:rPr>
          <w:rFonts w:ascii="Times New Roman" w:hAnsi="Times New Roman" w:cs="Times New Roman"/>
          <w:sz w:val="24"/>
          <w:szCs w:val="24"/>
          <w:lang w:val="en-US"/>
        </w:rPr>
        <w:t xml:space="preserve">that Covid-19 victims have a typical average residual life span and perfect health sans Covid-19, which </w:t>
      </w:r>
      <w:r w:rsidR="007C32B1">
        <w:rPr>
          <w:rFonts w:ascii="Times New Roman" w:hAnsi="Times New Roman" w:cs="Times New Roman"/>
          <w:sz w:val="24"/>
          <w:szCs w:val="24"/>
          <w:lang w:val="en-US"/>
        </w:rPr>
        <w:t xml:space="preserve">may be true in safety interventions but </w:t>
      </w:r>
      <w:r w:rsidRPr="0021004F">
        <w:rPr>
          <w:rFonts w:ascii="Times New Roman" w:hAnsi="Times New Roman" w:cs="Times New Roman"/>
          <w:sz w:val="24"/>
          <w:szCs w:val="24"/>
          <w:lang w:val="en-US"/>
        </w:rPr>
        <w:t>is not the case</w:t>
      </w:r>
      <w:r w:rsidR="007C32B1">
        <w:rPr>
          <w:rFonts w:ascii="Times New Roman" w:hAnsi="Times New Roman" w:cs="Times New Roman"/>
          <w:sz w:val="24"/>
          <w:szCs w:val="24"/>
          <w:lang w:val="en-US"/>
        </w:rPr>
        <w:t xml:space="preserve"> here</w:t>
      </w:r>
      <w:r w:rsidRPr="0021004F">
        <w:rPr>
          <w:rFonts w:ascii="Times New Roman" w:hAnsi="Times New Roman" w:cs="Times New Roman"/>
          <w:sz w:val="24"/>
          <w:szCs w:val="24"/>
          <w:lang w:val="en-US"/>
        </w:rPr>
        <w:t>, and would therefore significantly overestimate the benefits in QALYs saved.  Alternatively, it may reflect the</w:t>
      </w:r>
      <w:r w:rsidR="00DE5EC8">
        <w:rPr>
          <w:rFonts w:ascii="Times New Roman" w:hAnsi="Times New Roman" w:cs="Times New Roman"/>
          <w:sz w:val="24"/>
          <w:szCs w:val="24"/>
          <w:lang w:val="en-US"/>
        </w:rPr>
        <w:t>ir</w:t>
      </w:r>
      <w:r w:rsidRPr="0021004F">
        <w:rPr>
          <w:rFonts w:ascii="Times New Roman" w:hAnsi="Times New Roman" w:cs="Times New Roman"/>
          <w:sz w:val="24"/>
          <w:szCs w:val="24"/>
          <w:lang w:val="en-US"/>
        </w:rPr>
        <w:t xml:space="preserve"> </w:t>
      </w:r>
      <w:r w:rsidR="004F7E89">
        <w:rPr>
          <w:rFonts w:ascii="Times New Roman" w:hAnsi="Times New Roman" w:cs="Times New Roman"/>
          <w:sz w:val="24"/>
          <w:szCs w:val="24"/>
          <w:lang w:val="en-US"/>
        </w:rPr>
        <w:t xml:space="preserve">belief </w:t>
      </w:r>
      <w:r w:rsidRPr="0021004F">
        <w:rPr>
          <w:rFonts w:ascii="Times New Roman" w:hAnsi="Times New Roman" w:cs="Times New Roman"/>
          <w:sz w:val="24"/>
          <w:szCs w:val="24"/>
          <w:lang w:val="en-US"/>
        </w:rPr>
        <w:t xml:space="preserve">that all lives saved are equally valuable, which implies that one would spend as much to extend the life of a person by one day </w:t>
      </w:r>
      <w:r w:rsidR="00D328AA">
        <w:rPr>
          <w:rFonts w:ascii="Times New Roman" w:hAnsi="Times New Roman" w:cs="Times New Roman"/>
          <w:sz w:val="24"/>
          <w:szCs w:val="24"/>
          <w:lang w:val="en-US"/>
        </w:rPr>
        <w:t xml:space="preserve">(or even one hour) </w:t>
      </w:r>
      <w:r w:rsidRPr="0021004F">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one would spend to extend the life of </w:t>
      </w:r>
      <w:r w:rsidRPr="0021004F">
        <w:rPr>
          <w:rFonts w:ascii="Times New Roman" w:hAnsi="Times New Roman" w:cs="Times New Roman"/>
          <w:sz w:val="24"/>
          <w:szCs w:val="24"/>
          <w:lang w:val="en-US"/>
        </w:rPr>
        <w:t xml:space="preserve">a different person for </w:t>
      </w:r>
      <w:r w:rsidR="004D1B3D">
        <w:rPr>
          <w:rFonts w:ascii="Times New Roman" w:hAnsi="Times New Roman" w:cs="Times New Roman"/>
          <w:sz w:val="24"/>
          <w:szCs w:val="24"/>
          <w:lang w:val="en-US"/>
        </w:rPr>
        <w:t xml:space="preserve">fifty </w:t>
      </w:r>
      <w:r w:rsidRPr="0021004F">
        <w:rPr>
          <w:rFonts w:ascii="Times New Roman" w:hAnsi="Times New Roman" w:cs="Times New Roman"/>
          <w:sz w:val="24"/>
          <w:szCs w:val="24"/>
          <w:lang w:val="en-US"/>
        </w:rPr>
        <w:t>years.  If the latter</w:t>
      </w:r>
      <w:r>
        <w:rPr>
          <w:rFonts w:ascii="Times New Roman" w:hAnsi="Times New Roman" w:cs="Times New Roman"/>
          <w:sz w:val="24"/>
          <w:szCs w:val="24"/>
          <w:lang w:val="en-US"/>
        </w:rPr>
        <w:t xml:space="preserve"> interpretation is correct</w:t>
      </w:r>
      <w:r w:rsidR="00DE5EC8">
        <w:rPr>
          <w:rFonts w:ascii="Times New Roman" w:hAnsi="Times New Roman" w:cs="Times New Roman"/>
          <w:sz w:val="24"/>
          <w:szCs w:val="24"/>
          <w:lang w:val="en-US"/>
        </w:rPr>
        <w:t>, it would be</w:t>
      </w:r>
      <w:r w:rsidRPr="0021004F">
        <w:rPr>
          <w:rFonts w:ascii="Times New Roman" w:hAnsi="Times New Roman" w:cs="Times New Roman"/>
          <w:sz w:val="24"/>
          <w:szCs w:val="24"/>
          <w:lang w:val="en-US"/>
        </w:rPr>
        <w:t xml:space="preserve"> </w:t>
      </w:r>
      <w:r w:rsidR="004D1B3D">
        <w:rPr>
          <w:rFonts w:ascii="Times New Roman" w:hAnsi="Times New Roman" w:cs="Times New Roman"/>
          <w:sz w:val="24"/>
          <w:szCs w:val="24"/>
          <w:lang w:val="en-US"/>
        </w:rPr>
        <w:t xml:space="preserve">perverse </w:t>
      </w:r>
      <w:r w:rsidR="00DE5EC8">
        <w:rPr>
          <w:rFonts w:ascii="Times New Roman" w:hAnsi="Times New Roman" w:cs="Times New Roman"/>
          <w:sz w:val="24"/>
          <w:szCs w:val="24"/>
          <w:lang w:val="en-US"/>
        </w:rPr>
        <w:t xml:space="preserve">to do so.  It would also be </w:t>
      </w:r>
      <w:r w:rsidRPr="0021004F">
        <w:rPr>
          <w:rFonts w:ascii="Times New Roman" w:hAnsi="Times New Roman" w:cs="Times New Roman"/>
          <w:sz w:val="24"/>
          <w:szCs w:val="24"/>
          <w:lang w:val="en-US"/>
        </w:rPr>
        <w:t xml:space="preserve">inconsistent with prevailing views </w:t>
      </w:r>
      <w:r w:rsidR="004743A6">
        <w:rPr>
          <w:rFonts w:ascii="Times New Roman" w:hAnsi="Times New Roman" w:cs="Times New Roman"/>
          <w:sz w:val="24"/>
          <w:szCs w:val="24"/>
          <w:lang w:val="en-US"/>
        </w:rPr>
        <w:t>amongst public health experts</w:t>
      </w:r>
      <w:r w:rsidR="00D60817">
        <w:rPr>
          <w:rFonts w:ascii="Times New Roman" w:hAnsi="Times New Roman" w:cs="Times New Roman"/>
          <w:sz w:val="24"/>
          <w:szCs w:val="24"/>
          <w:lang w:val="en-US"/>
        </w:rPr>
        <w:t xml:space="preserve"> in Australia and elsewhere, in which the impact of health interventions on the residual life expectancy of the targets is estimated and converted to a monetary figure using a value per year (Bertram et al, 2016; </w:t>
      </w:r>
      <w:r w:rsidR="00122F9D">
        <w:rPr>
          <w:rFonts w:ascii="Times New Roman" w:hAnsi="Times New Roman" w:cs="Times New Roman"/>
          <w:sz w:val="24"/>
          <w:szCs w:val="24"/>
          <w:lang w:val="en-US"/>
        </w:rPr>
        <w:t>Cheng et al, 2016; Blakely and Wilson</w:t>
      </w:r>
      <w:r>
        <w:rPr>
          <w:rFonts w:ascii="Times New Roman" w:hAnsi="Times New Roman" w:cs="Times New Roman"/>
          <w:sz w:val="24"/>
          <w:szCs w:val="24"/>
          <w:lang w:val="en-US"/>
        </w:rPr>
        <w:t xml:space="preserve">, 2020).  </w:t>
      </w:r>
    </w:p>
    <w:p w14:paraId="6426B046" w14:textId="77777777" w:rsidR="009F770F" w:rsidRDefault="009F770F" w:rsidP="008702F9">
      <w:pPr>
        <w:spacing w:after="0" w:line="360" w:lineRule="auto"/>
        <w:jc w:val="both"/>
        <w:rPr>
          <w:rFonts w:ascii="Times New Roman" w:hAnsi="Times New Roman" w:cs="Times New Roman"/>
          <w:sz w:val="24"/>
          <w:szCs w:val="24"/>
          <w:lang w:val="en-US"/>
        </w:rPr>
      </w:pPr>
    </w:p>
    <w:p w14:paraId="3B456265" w14:textId="77777777" w:rsidR="00B97C8C" w:rsidRPr="009F770F" w:rsidRDefault="009F770F" w:rsidP="009F770F">
      <w:pPr>
        <w:spacing w:after="0" w:line="360" w:lineRule="auto"/>
        <w:jc w:val="both"/>
        <w:rPr>
          <w:rFonts w:ascii="Times New Roman" w:hAnsi="Times New Roman" w:cs="Times New Roman"/>
          <w:i/>
          <w:sz w:val="24"/>
          <w:szCs w:val="24"/>
          <w:lang w:val="en-US"/>
        </w:rPr>
      </w:pPr>
      <w:r w:rsidRPr="009F770F">
        <w:rPr>
          <w:rFonts w:ascii="Times New Roman" w:hAnsi="Times New Roman" w:cs="Times New Roman"/>
          <w:i/>
          <w:sz w:val="24"/>
          <w:szCs w:val="24"/>
          <w:lang w:val="en-US"/>
        </w:rPr>
        <w:t>2.6 C</w:t>
      </w:r>
      <w:r>
        <w:rPr>
          <w:rFonts w:ascii="Times New Roman" w:hAnsi="Times New Roman" w:cs="Times New Roman"/>
          <w:i/>
          <w:sz w:val="24"/>
          <w:szCs w:val="24"/>
          <w:lang w:val="en-US"/>
        </w:rPr>
        <w:t>omparison of Cost with Benchmark</w:t>
      </w:r>
    </w:p>
    <w:p w14:paraId="6FDC84EB" w14:textId="77777777" w:rsidR="006D69FF" w:rsidRDefault="002338E5" w:rsidP="009F77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summary, the cost per QALY saved is shown in equation (7)</w:t>
      </w:r>
      <w:r w:rsidR="006D69FF">
        <w:rPr>
          <w:rFonts w:ascii="Times New Roman" w:hAnsi="Times New Roman" w:cs="Times New Roman"/>
          <w:sz w:val="24"/>
          <w:szCs w:val="24"/>
          <w:lang w:val="en-US"/>
        </w:rPr>
        <w:t>, (8)</w:t>
      </w:r>
      <w:r w:rsidR="00CA33C6">
        <w:rPr>
          <w:rFonts w:ascii="Times New Roman" w:hAnsi="Times New Roman" w:cs="Times New Roman"/>
          <w:sz w:val="24"/>
          <w:szCs w:val="24"/>
          <w:lang w:val="en-US"/>
        </w:rPr>
        <w:t xml:space="preserve"> and</w:t>
      </w:r>
      <w:r w:rsidR="006D69FF">
        <w:rPr>
          <w:rFonts w:ascii="Times New Roman" w:hAnsi="Times New Roman" w:cs="Times New Roman"/>
          <w:sz w:val="24"/>
          <w:szCs w:val="24"/>
          <w:lang w:val="en-US"/>
        </w:rPr>
        <w:t xml:space="preserve"> (9)</w:t>
      </w:r>
      <w:r>
        <w:rPr>
          <w:rFonts w:ascii="Times New Roman" w:hAnsi="Times New Roman" w:cs="Times New Roman"/>
          <w:sz w:val="24"/>
          <w:szCs w:val="24"/>
          <w:lang w:val="en-US"/>
        </w:rPr>
        <w:t xml:space="preserve">, and the benchmark figure is $100,000.  </w:t>
      </w:r>
      <w:r w:rsidR="008702F9">
        <w:rPr>
          <w:rFonts w:ascii="Times New Roman" w:hAnsi="Times New Roman" w:cs="Times New Roman"/>
          <w:sz w:val="24"/>
          <w:szCs w:val="24"/>
          <w:lang w:val="en-US"/>
        </w:rPr>
        <w:t xml:space="preserve">Whether </w:t>
      </w:r>
      <w:r w:rsidR="009C4DB9">
        <w:rPr>
          <w:rFonts w:ascii="Times New Roman" w:hAnsi="Times New Roman" w:cs="Times New Roman"/>
          <w:sz w:val="24"/>
          <w:szCs w:val="24"/>
          <w:lang w:val="en-US"/>
        </w:rPr>
        <w:t xml:space="preserve">the cost per </w:t>
      </w:r>
      <w:r w:rsidR="008702F9">
        <w:rPr>
          <w:rFonts w:ascii="Times New Roman" w:hAnsi="Times New Roman" w:cs="Times New Roman"/>
          <w:sz w:val="24"/>
          <w:szCs w:val="24"/>
          <w:lang w:val="en-US"/>
        </w:rPr>
        <w:t xml:space="preserve">QALY </w:t>
      </w:r>
      <w:r w:rsidR="008F52EC">
        <w:rPr>
          <w:rFonts w:ascii="Times New Roman" w:hAnsi="Times New Roman" w:cs="Times New Roman"/>
          <w:sz w:val="24"/>
          <w:szCs w:val="24"/>
          <w:lang w:val="en-US"/>
        </w:rPr>
        <w:t xml:space="preserve">saved </w:t>
      </w:r>
      <w:r w:rsidR="009C4DB9">
        <w:rPr>
          <w:rFonts w:ascii="Times New Roman" w:hAnsi="Times New Roman" w:cs="Times New Roman"/>
          <w:sz w:val="24"/>
          <w:szCs w:val="24"/>
          <w:lang w:val="en-US"/>
        </w:rPr>
        <w:t xml:space="preserve">exceeds this benchmark figure of $100,000 </w:t>
      </w:r>
      <w:r w:rsidR="008702F9">
        <w:rPr>
          <w:rFonts w:ascii="Times New Roman" w:hAnsi="Times New Roman" w:cs="Times New Roman"/>
          <w:sz w:val="24"/>
          <w:szCs w:val="24"/>
          <w:lang w:val="en-US"/>
        </w:rPr>
        <w:t xml:space="preserve">depends upon the value of </w:t>
      </w:r>
      <w:r w:rsidR="008702F9" w:rsidRPr="00FC218D">
        <w:rPr>
          <w:rFonts w:ascii="Times New Roman" w:hAnsi="Times New Roman" w:cs="Times New Roman"/>
          <w:i/>
          <w:sz w:val="24"/>
          <w:szCs w:val="24"/>
          <w:lang w:val="en-US"/>
        </w:rPr>
        <w:t>N</w:t>
      </w:r>
      <w:r w:rsidR="008702F9">
        <w:rPr>
          <w:rFonts w:ascii="Times New Roman" w:hAnsi="Times New Roman" w:cs="Times New Roman"/>
          <w:sz w:val="24"/>
          <w:szCs w:val="24"/>
          <w:lang w:val="en-US"/>
        </w:rPr>
        <w:t xml:space="preserve">.  </w:t>
      </w:r>
      <w:r w:rsidR="006D69FF">
        <w:rPr>
          <w:rFonts w:ascii="Times New Roman" w:hAnsi="Times New Roman" w:cs="Times New Roman"/>
          <w:sz w:val="24"/>
          <w:szCs w:val="24"/>
          <w:lang w:val="en-US"/>
        </w:rPr>
        <w:t xml:space="preserve">Table 4 shows costs per QALY saved according to the choice of equation and the value of </w:t>
      </w:r>
      <w:r w:rsidR="006D69FF" w:rsidRPr="00065837">
        <w:rPr>
          <w:rFonts w:ascii="Times New Roman" w:hAnsi="Times New Roman" w:cs="Times New Roman"/>
          <w:i/>
          <w:sz w:val="24"/>
          <w:szCs w:val="24"/>
          <w:lang w:val="en-US"/>
        </w:rPr>
        <w:t>N</w:t>
      </w:r>
      <w:r w:rsidR="006D69FF">
        <w:rPr>
          <w:rFonts w:ascii="Times New Roman" w:hAnsi="Times New Roman" w:cs="Times New Roman"/>
          <w:sz w:val="24"/>
          <w:szCs w:val="24"/>
          <w:lang w:val="en-US"/>
        </w:rPr>
        <w:t>, which must be at least 1.</w:t>
      </w:r>
    </w:p>
    <w:p w14:paraId="79E42F77" w14:textId="77777777" w:rsidR="006D69FF" w:rsidRDefault="006D69FF" w:rsidP="009F770F">
      <w:pPr>
        <w:spacing w:after="0" w:line="360" w:lineRule="auto"/>
        <w:jc w:val="both"/>
        <w:rPr>
          <w:rFonts w:ascii="Times New Roman" w:hAnsi="Times New Roman" w:cs="Times New Roman"/>
          <w:sz w:val="24"/>
          <w:szCs w:val="24"/>
          <w:lang w:val="en-US"/>
        </w:rPr>
      </w:pPr>
    </w:p>
    <w:p w14:paraId="41FDF16D" w14:textId="77777777" w:rsidR="0048183C" w:rsidRDefault="0048183C" w:rsidP="0048183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lowest results are from equation (7).  Even at </w:t>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2, which is an upper bound, the cost per QALY saved is $1.06m, which is almost 11 times the benchmark figure of $100,000.  Equation (8) allows for </w:t>
      </w:r>
      <w:r w:rsidR="00F113B2">
        <w:rPr>
          <w:rFonts w:ascii="Times New Roman" w:hAnsi="Times New Roman" w:cs="Times New Roman"/>
          <w:sz w:val="24"/>
          <w:szCs w:val="24"/>
          <w:lang w:val="en-US"/>
        </w:rPr>
        <w:t xml:space="preserve">the </w:t>
      </w:r>
      <w:r>
        <w:rPr>
          <w:rFonts w:ascii="Times New Roman" w:hAnsi="Times New Roman" w:cs="Times New Roman"/>
          <w:sz w:val="24"/>
          <w:szCs w:val="24"/>
          <w:lang w:val="en-US"/>
        </w:rPr>
        <w:t>loss of quality of life of the unemployed</w:t>
      </w:r>
      <w:r w:rsidR="00F113B2">
        <w:rPr>
          <w:rFonts w:ascii="Times New Roman" w:hAnsi="Times New Roman" w:cs="Times New Roman"/>
          <w:sz w:val="24"/>
          <w:szCs w:val="24"/>
          <w:lang w:val="en-US"/>
        </w:rPr>
        <w:t xml:space="preserve"> whilst unemployed</w:t>
      </w:r>
      <w:r>
        <w:rPr>
          <w:rFonts w:ascii="Times New Roman" w:hAnsi="Times New Roman" w:cs="Times New Roman"/>
          <w:sz w:val="24"/>
          <w:szCs w:val="24"/>
          <w:lang w:val="en-US"/>
        </w:rPr>
        <w:t xml:space="preserve">, at 12% of the value of a healthy life.  At </w:t>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1 or </w:t>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1.5, this allowance is so large as to fully offset the QALY losses amongst the dead.  At </w:t>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2, the cost per QALY saved is $36.2m, which is 362 times the benchmark value.  Equation (9) allows for </w:t>
      </w:r>
      <w:r w:rsidR="00F113B2">
        <w:rPr>
          <w:rFonts w:ascii="Times New Roman" w:hAnsi="Times New Roman" w:cs="Times New Roman"/>
          <w:sz w:val="24"/>
          <w:szCs w:val="24"/>
          <w:lang w:val="en-US"/>
        </w:rPr>
        <w:t xml:space="preserve">the </w:t>
      </w:r>
      <w:r>
        <w:rPr>
          <w:rFonts w:ascii="Times New Roman" w:hAnsi="Times New Roman" w:cs="Times New Roman"/>
          <w:sz w:val="24"/>
          <w:szCs w:val="24"/>
          <w:lang w:val="en-US"/>
        </w:rPr>
        <w:t>loss of quality of life of the unemployed</w:t>
      </w:r>
      <w:r w:rsidR="00F113B2">
        <w:rPr>
          <w:rFonts w:ascii="Times New Roman" w:hAnsi="Times New Roman" w:cs="Times New Roman"/>
          <w:sz w:val="24"/>
          <w:szCs w:val="24"/>
          <w:lang w:val="en-US"/>
        </w:rPr>
        <w:t xml:space="preserve"> whilst unemployed</w:t>
      </w:r>
      <w:r w:rsidR="00FA30B6">
        <w:rPr>
          <w:rFonts w:ascii="Times New Roman" w:hAnsi="Times New Roman" w:cs="Times New Roman"/>
          <w:sz w:val="24"/>
          <w:szCs w:val="24"/>
          <w:lang w:val="en-US"/>
        </w:rPr>
        <w:t>, at only 6</w:t>
      </w:r>
      <w:r>
        <w:rPr>
          <w:rFonts w:ascii="Times New Roman" w:hAnsi="Times New Roman" w:cs="Times New Roman"/>
          <w:sz w:val="24"/>
          <w:szCs w:val="24"/>
          <w:lang w:val="en-US"/>
        </w:rPr>
        <w:t xml:space="preserve">% of the value of a healthy life.  At </w:t>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2, </w:t>
      </w:r>
      <w:r w:rsidR="00FA30B6">
        <w:rPr>
          <w:rFonts w:ascii="Times New Roman" w:hAnsi="Times New Roman" w:cs="Times New Roman"/>
          <w:sz w:val="24"/>
          <w:szCs w:val="24"/>
          <w:lang w:val="en-US"/>
        </w:rPr>
        <w:t>the cost per QALY saved is $2.07m, which is almost 21</w:t>
      </w:r>
      <w:r>
        <w:rPr>
          <w:rFonts w:ascii="Times New Roman" w:hAnsi="Times New Roman" w:cs="Times New Roman"/>
          <w:sz w:val="24"/>
          <w:szCs w:val="24"/>
          <w:lang w:val="en-US"/>
        </w:rPr>
        <w:t xml:space="preserve"> times the benchmark value. </w:t>
      </w:r>
    </w:p>
    <w:p w14:paraId="4623AC8D" w14:textId="77777777" w:rsidR="0048183C" w:rsidRDefault="0048183C" w:rsidP="009F770F">
      <w:pPr>
        <w:spacing w:after="0" w:line="360" w:lineRule="auto"/>
        <w:jc w:val="both"/>
        <w:rPr>
          <w:rFonts w:ascii="Times New Roman" w:hAnsi="Times New Roman" w:cs="Times New Roman"/>
          <w:sz w:val="24"/>
          <w:szCs w:val="24"/>
          <w:lang w:val="en-US"/>
        </w:rPr>
      </w:pPr>
    </w:p>
    <w:p w14:paraId="619F81C6" w14:textId="77777777" w:rsidR="006D69FF" w:rsidRDefault="006D69FF" w:rsidP="00517F8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4: Costs Per QALY Saved</w:t>
      </w:r>
    </w:p>
    <w:p w14:paraId="3F427FFE" w14:textId="77777777" w:rsidR="006D69FF" w:rsidRDefault="006D69FF" w:rsidP="006D69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7534FECC" w14:textId="77777777" w:rsidR="006D69FF" w:rsidRDefault="006D69FF" w:rsidP="00517F85">
      <w:pPr>
        <w:tabs>
          <w:tab w:val="left" w:pos="4536"/>
          <w:tab w:val="left" w:pos="5954"/>
          <w:tab w:val="lef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17F85">
        <w:rPr>
          <w:rFonts w:ascii="Times New Roman" w:hAnsi="Times New Roman" w:cs="Times New Roman"/>
          <w:i/>
          <w:sz w:val="24"/>
          <w:szCs w:val="24"/>
          <w:lang w:val="en-US"/>
        </w:rPr>
        <w:t>N</w:t>
      </w:r>
      <w:r>
        <w:rPr>
          <w:rFonts w:ascii="Times New Roman" w:hAnsi="Times New Roman" w:cs="Times New Roman"/>
          <w:sz w:val="24"/>
          <w:szCs w:val="24"/>
          <w:lang w:val="en-US"/>
        </w:rPr>
        <w:t xml:space="preserve"> = 1</w:t>
      </w:r>
      <w:r>
        <w:rPr>
          <w:rFonts w:ascii="Times New Roman" w:hAnsi="Times New Roman" w:cs="Times New Roman"/>
          <w:sz w:val="24"/>
          <w:szCs w:val="24"/>
          <w:lang w:val="en-US"/>
        </w:rPr>
        <w:tab/>
      </w:r>
      <w:r w:rsidRPr="00517F85">
        <w:rPr>
          <w:rFonts w:ascii="Times New Roman" w:hAnsi="Times New Roman" w:cs="Times New Roman"/>
          <w:i/>
          <w:sz w:val="24"/>
          <w:szCs w:val="24"/>
          <w:lang w:val="en-US"/>
        </w:rPr>
        <w:t>N</w:t>
      </w:r>
      <w:r w:rsidR="00065837">
        <w:rPr>
          <w:rFonts w:ascii="Times New Roman" w:hAnsi="Times New Roman" w:cs="Times New Roman"/>
          <w:sz w:val="24"/>
          <w:szCs w:val="24"/>
          <w:lang w:val="en-US"/>
        </w:rPr>
        <w:t xml:space="preserve"> </w:t>
      </w:r>
      <w:r>
        <w:rPr>
          <w:rFonts w:ascii="Times New Roman" w:hAnsi="Times New Roman" w:cs="Times New Roman"/>
          <w:sz w:val="24"/>
          <w:szCs w:val="24"/>
          <w:lang w:val="en-US"/>
        </w:rPr>
        <w:t>= 1.5</w:t>
      </w:r>
      <w:r>
        <w:rPr>
          <w:rFonts w:ascii="Times New Roman" w:hAnsi="Times New Roman" w:cs="Times New Roman"/>
          <w:sz w:val="24"/>
          <w:szCs w:val="24"/>
          <w:lang w:val="en-US"/>
        </w:rPr>
        <w:tab/>
      </w:r>
      <w:r w:rsidRPr="00517F85">
        <w:rPr>
          <w:rFonts w:ascii="Times New Roman" w:hAnsi="Times New Roman" w:cs="Times New Roman"/>
          <w:i/>
          <w:sz w:val="24"/>
          <w:szCs w:val="24"/>
          <w:lang w:val="en-US"/>
        </w:rPr>
        <w:t>N</w:t>
      </w:r>
      <w:r w:rsidR="00065837">
        <w:rPr>
          <w:rFonts w:ascii="Times New Roman" w:hAnsi="Times New Roman" w:cs="Times New Roman"/>
          <w:sz w:val="24"/>
          <w:szCs w:val="24"/>
          <w:lang w:val="en-US"/>
        </w:rPr>
        <w:t xml:space="preserve"> </w:t>
      </w:r>
      <w:r>
        <w:rPr>
          <w:rFonts w:ascii="Times New Roman" w:hAnsi="Times New Roman" w:cs="Times New Roman"/>
          <w:sz w:val="24"/>
          <w:szCs w:val="24"/>
          <w:lang w:val="en-US"/>
        </w:rPr>
        <w:t>= 2</w:t>
      </w:r>
    </w:p>
    <w:p w14:paraId="0D1FDBE9" w14:textId="77777777" w:rsidR="00517F85" w:rsidRDefault="00517F85" w:rsidP="006D69FF">
      <w:pPr>
        <w:tabs>
          <w:tab w:val="left" w:pos="4536"/>
          <w:tab w:val="left" w:pos="5954"/>
          <w:tab w:val="left" w:pos="737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1A44409B" w14:textId="77777777" w:rsidR="006D69FF" w:rsidRDefault="006D69FF" w:rsidP="006D69FF">
      <w:pPr>
        <w:tabs>
          <w:tab w:val="left" w:pos="4536"/>
          <w:tab w:val="left" w:pos="5954"/>
          <w:tab w:val="left" w:pos="737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Equation</w:t>
      </w:r>
      <w:r w:rsidR="00C15679">
        <w:rPr>
          <w:rFonts w:ascii="Times New Roman" w:hAnsi="Times New Roman" w:cs="Times New Roman"/>
          <w:sz w:val="24"/>
          <w:szCs w:val="24"/>
          <w:lang w:val="en-US"/>
        </w:rPr>
        <w:t xml:space="preserve"> (7)</w:t>
      </w:r>
      <w:r>
        <w:rPr>
          <w:rFonts w:ascii="Times New Roman" w:hAnsi="Times New Roman" w:cs="Times New Roman"/>
          <w:sz w:val="24"/>
          <w:szCs w:val="24"/>
          <w:lang w:val="en-US"/>
        </w:rPr>
        <w:tab/>
      </w:r>
      <w:r w:rsidR="00517F85">
        <w:rPr>
          <w:rFonts w:ascii="Times New Roman" w:hAnsi="Times New Roman" w:cs="Times New Roman"/>
          <w:sz w:val="24"/>
          <w:szCs w:val="24"/>
          <w:lang w:val="en-US"/>
        </w:rPr>
        <w:t>$2.19m</w:t>
      </w:r>
      <w:r>
        <w:rPr>
          <w:rFonts w:ascii="Times New Roman" w:hAnsi="Times New Roman" w:cs="Times New Roman"/>
          <w:sz w:val="24"/>
          <w:szCs w:val="24"/>
          <w:lang w:val="en-US"/>
        </w:rPr>
        <w:tab/>
      </w:r>
      <w:r w:rsidR="00517F85">
        <w:rPr>
          <w:rFonts w:ascii="Times New Roman" w:hAnsi="Times New Roman" w:cs="Times New Roman"/>
          <w:sz w:val="24"/>
          <w:szCs w:val="24"/>
          <w:lang w:val="en-US"/>
        </w:rPr>
        <w:t>$1.44m</w:t>
      </w:r>
      <w:r>
        <w:rPr>
          <w:rFonts w:ascii="Times New Roman" w:hAnsi="Times New Roman" w:cs="Times New Roman"/>
          <w:sz w:val="24"/>
          <w:szCs w:val="24"/>
          <w:lang w:val="en-US"/>
        </w:rPr>
        <w:tab/>
      </w:r>
      <w:r w:rsidR="00517F85">
        <w:rPr>
          <w:rFonts w:ascii="Times New Roman" w:hAnsi="Times New Roman" w:cs="Times New Roman"/>
          <w:sz w:val="24"/>
          <w:szCs w:val="24"/>
          <w:lang w:val="en-US"/>
        </w:rPr>
        <w:t>$1.06m</w:t>
      </w:r>
    </w:p>
    <w:p w14:paraId="476F2E4F" w14:textId="77777777" w:rsidR="006D69FF" w:rsidRDefault="006D69FF" w:rsidP="006D69FF">
      <w:pPr>
        <w:tabs>
          <w:tab w:val="left" w:pos="4536"/>
          <w:tab w:val="left" w:pos="5954"/>
          <w:tab w:val="left" w:pos="737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Equation (8)</w:t>
      </w:r>
      <w:r>
        <w:rPr>
          <w:rFonts w:ascii="Times New Roman" w:hAnsi="Times New Roman" w:cs="Times New Roman"/>
          <w:sz w:val="24"/>
          <w:szCs w:val="24"/>
          <w:lang w:val="en-US"/>
        </w:rPr>
        <w:tab/>
      </w:r>
      <w:r w:rsidR="00517F85">
        <w:rPr>
          <w:rFonts w:ascii="Times New Roman" w:hAnsi="Times New Roman" w:cs="Times New Roman"/>
          <w:sz w:val="24"/>
          <w:szCs w:val="24"/>
          <w:lang w:val="en-US"/>
        </w:rPr>
        <w:t>N/A</w:t>
      </w:r>
      <w:r w:rsidR="00517F85">
        <w:rPr>
          <w:rFonts w:ascii="Times New Roman" w:hAnsi="Times New Roman" w:cs="Times New Roman"/>
          <w:sz w:val="24"/>
          <w:szCs w:val="24"/>
          <w:lang w:val="en-US"/>
        </w:rPr>
        <w:tab/>
        <w:t>N/A</w:t>
      </w:r>
      <w:r w:rsidR="00517F85">
        <w:rPr>
          <w:rFonts w:ascii="Times New Roman" w:hAnsi="Times New Roman" w:cs="Times New Roman"/>
          <w:sz w:val="24"/>
          <w:szCs w:val="24"/>
          <w:lang w:val="en-US"/>
        </w:rPr>
        <w:tab/>
        <w:t>$36.2m</w:t>
      </w:r>
    </w:p>
    <w:p w14:paraId="0F5068CA" w14:textId="77777777" w:rsidR="006D69FF" w:rsidRDefault="006D69FF" w:rsidP="00517F85">
      <w:pPr>
        <w:tabs>
          <w:tab w:val="left" w:pos="4536"/>
          <w:tab w:val="left" w:pos="5954"/>
          <w:tab w:val="lef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Equation (9)</w:t>
      </w:r>
      <w:r>
        <w:rPr>
          <w:rFonts w:ascii="Times New Roman" w:hAnsi="Times New Roman" w:cs="Times New Roman"/>
          <w:sz w:val="24"/>
          <w:szCs w:val="24"/>
          <w:lang w:val="en-US"/>
        </w:rPr>
        <w:tab/>
      </w:r>
      <w:r w:rsidR="00924A50">
        <w:rPr>
          <w:rFonts w:ascii="Times New Roman" w:hAnsi="Times New Roman" w:cs="Times New Roman"/>
          <w:sz w:val="24"/>
          <w:szCs w:val="24"/>
          <w:lang w:val="en-US"/>
        </w:rPr>
        <w:t>$74.5</w:t>
      </w:r>
      <w:r w:rsidR="00517F85">
        <w:rPr>
          <w:rFonts w:ascii="Times New Roman" w:hAnsi="Times New Roman" w:cs="Times New Roman"/>
          <w:sz w:val="24"/>
          <w:szCs w:val="24"/>
          <w:lang w:val="en-US"/>
        </w:rPr>
        <w:t>m</w:t>
      </w:r>
      <w:r w:rsidR="00517F85">
        <w:rPr>
          <w:rFonts w:ascii="Times New Roman" w:hAnsi="Times New Roman" w:cs="Times New Roman"/>
          <w:sz w:val="24"/>
          <w:szCs w:val="24"/>
          <w:lang w:val="en-US"/>
        </w:rPr>
        <w:tab/>
      </w:r>
      <w:r w:rsidR="00E02919">
        <w:rPr>
          <w:rFonts w:ascii="Times New Roman" w:hAnsi="Times New Roman" w:cs="Times New Roman"/>
          <w:sz w:val="24"/>
          <w:szCs w:val="24"/>
          <w:lang w:val="en-US"/>
        </w:rPr>
        <w:t>$4.1</w:t>
      </w:r>
      <w:r w:rsidR="001C373D">
        <w:rPr>
          <w:rFonts w:ascii="Times New Roman" w:hAnsi="Times New Roman" w:cs="Times New Roman"/>
          <w:sz w:val="24"/>
          <w:szCs w:val="24"/>
          <w:lang w:val="en-US"/>
        </w:rPr>
        <w:t>m</w:t>
      </w:r>
      <w:r w:rsidR="001C373D">
        <w:rPr>
          <w:rFonts w:ascii="Times New Roman" w:hAnsi="Times New Roman" w:cs="Times New Roman"/>
          <w:sz w:val="24"/>
          <w:szCs w:val="24"/>
          <w:lang w:val="en-US"/>
        </w:rPr>
        <w:tab/>
        <w:t>$2.07</w:t>
      </w:r>
      <w:r w:rsidR="00517F85">
        <w:rPr>
          <w:rFonts w:ascii="Times New Roman" w:hAnsi="Times New Roman" w:cs="Times New Roman"/>
          <w:sz w:val="24"/>
          <w:szCs w:val="24"/>
          <w:lang w:val="en-US"/>
        </w:rPr>
        <w:t>m</w:t>
      </w:r>
      <w:r>
        <w:rPr>
          <w:rFonts w:ascii="Times New Roman" w:hAnsi="Times New Roman" w:cs="Times New Roman"/>
          <w:sz w:val="24"/>
          <w:szCs w:val="24"/>
          <w:lang w:val="en-US"/>
        </w:rPr>
        <w:tab/>
      </w:r>
    </w:p>
    <w:p w14:paraId="1AD0C9ED" w14:textId="77777777" w:rsidR="006D69FF" w:rsidRDefault="006D69FF" w:rsidP="006D69FF">
      <w:pPr>
        <w:tabs>
          <w:tab w:val="left" w:pos="4536"/>
          <w:tab w:val="left" w:pos="5954"/>
          <w:tab w:val="left" w:pos="737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56DF59F2" w14:textId="77777777" w:rsidR="006D69FF" w:rsidRDefault="006D69FF" w:rsidP="009F77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518A7261" w14:textId="77777777" w:rsidR="008702F9" w:rsidRDefault="00411CE2" w:rsidP="009F77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the </w:t>
      </w:r>
      <w:r w:rsidR="00121A10">
        <w:rPr>
          <w:rFonts w:ascii="Times New Roman" w:hAnsi="Times New Roman" w:cs="Times New Roman"/>
          <w:sz w:val="24"/>
          <w:szCs w:val="24"/>
          <w:lang w:val="en-US"/>
        </w:rPr>
        <w:t xml:space="preserve">lowest cost outcomes, which arise from equation (7), </w:t>
      </w:r>
      <w:r w:rsidR="008702F9" w:rsidRPr="0076442F">
        <w:rPr>
          <w:rFonts w:ascii="Times New Roman" w:hAnsi="Times New Roman" w:cs="Times New Roman"/>
          <w:i/>
          <w:sz w:val="24"/>
          <w:szCs w:val="24"/>
          <w:lang w:val="en-US"/>
        </w:rPr>
        <w:t>N</w:t>
      </w:r>
      <w:r w:rsidR="008702F9">
        <w:rPr>
          <w:rFonts w:ascii="Times New Roman" w:hAnsi="Times New Roman" w:cs="Times New Roman"/>
          <w:sz w:val="24"/>
          <w:szCs w:val="24"/>
          <w:lang w:val="en-US"/>
        </w:rPr>
        <w:t xml:space="preserve"> would have to be </w:t>
      </w:r>
      <w:r w:rsidR="00121A10">
        <w:rPr>
          <w:rFonts w:ascii="Times New Roman" w:hAnsi="Times New Roman" w:cs="Times New Roman"/>
          <w:sz w:val="24"/>
          <w:szCs w:val="24"/>
          <w:lang w:val="en-US"/>
        </w:rPr>
        <w:t>14</w:t>
      </w:r>
      <w:r w:rsidR="00B17B3A">
        <w:rPr>
          <w:rFonts w:ascii="Times New Roman" w:hAnsi="Times New Roman" w:cs="Times New Roman"/>
          <w:sz w:val="24"/>
          <w:szCs w:val="24"/>
          <w:lang w:val="en-US"/>
        </w:rPr>
        <w:t xml:space="preserve"> before the cost per QALY in equation (5) fell to $100,000</w:t>
      </w:r>
      <w:r w:rsidR="008702F9">
        <w:rPr>
          <w:rFonts w:ascii="Times New Roman" w:hAnsi="Times New Roman" w:cs="Times New Roman"/>
          <w:sz w:val="24"/>
          <w:szCs w:val="24"/>
          <w:lang w:val="en-US"/>
        </w:rPr>
        <w:t xml:space="preserve">, i.e., the eventual death toll in Europe from the pandemic would have to be </w:t>
      </w:r>
      <w:r w:rsidR="00121A10">
        <w:rPr>
          <w:rFonts w:ascii="Times New Roman" w:hAnsi="Times New Roman" w:cs="Times New Roman"/>
          <w:sz w:val="24"/>
          <w:szCs w:val="24"/>
          <w:lang w:val="en-US"/>
        </w:rPr>
        <w:t>14</w:t>
      </w:r>
      <w:r w:rsidR="001674DD">
        <w:rPr>
          <w:rFonts w:ascii="Times New Roman" w:hAnsi="Times New Roman" w:cs="Times New Roman"/>
          <w:sz w:val="24"/>
          <w:szCs w:val="24"/>
          <w:lang w:val="en-US"/>
        </w:rPr>
        <w:t xml:space="preserve"> </w:t>
      </w:r>
      <w:r w:rsidR="00B17B3A">
        <w:rPr>
          <w:rFonts w:ascii="Times New Roman" w:hAnsi="Times New Roman" w:cs="Times New Roman"/>
          <w:sz w:val="24"/>
          <w:szCs w:val="24"/>
          <w:lang w:val="en-US"/>
        </w:rPr>
        <w:t xml:space="preserve">times the </w:t>
      </w:r>
      <w:r w:rsidR="008702F9">
        <w:rPr>
          <w:rFonts w:ascii="Times New Roman" w:hAnsi="Times New Roman" w:cs="Times New Roman"/>
          <w:sz w:val="24"/>
          <w:szCs w:val="24"/>
          <w:lang w:val="en-US"/>
        </w:rPr>
        <w:t xml:space="preserve">death toll to </w:t>
      </w:r>
      <w:r w:rsidR="00787628">
        <w:rPr>
          <w:rFonts w:ascii="Times New Roman" w:hAnsi="Times New Roman" w:cs="Times New Roman"/>
          <w:sz w:val="24"/>
          <w:szCs w:val="24"/>
          <w:lang w:val="en-US"/>
        </w:rPr>
        <w:t>30 December</w:t>
      </w:r>
      <w:r w:rsidR="008702F9">
        <w:rPr>
          <w:rFonts w:ascii="Times New Roman" w:hAnsi="Times New Roman" w:cs="Times New Roman"/>
          <w:sz w:val="24"/>
          <w:szCs w:val="24"/>
          <w:lang w:val="en-US"/>
        </w:rPr>
        <w:t xml:space="preserve">.  To gain some sense about the plausibility of such a value of </w:t>
      </w:r>
      <w:r w:rsidR="008702F9" w:rsidRPr="0055532D">
        <w:rPr>
          <w:rFonts w:ascii="Times New Roman" w:hAnsi="Times New Roman" w:cs="Times New Roman"/>
          <w:i/>
          <w:sz w:val="24"/>
          <w:szCs w:val="24"/>
          <w:lang w:val="en-US"/>
        </w:rPr>
        <w:t>N</w:t>
      </w:r>
      <w:r w:rsidR="008702F9">
        <w:rPr>
          <w:rFonts w:ascii="Times New Roman" w:hAnsi="Times New Roman" w:cs="Times New Roman"/>
          <w:sz w:val="24"/>
          <w:szCs w:val="24"/>
          <w:lang w:val="en-US"/>
        </w:rPr>
        <w:t xml:space="preserve">, suppose that </w:t>
      </w:r>
      <w:r w:rsidR="007619B3">
        <w:rPr>
          <w:rFonts w:ascii="Times New Roman" w:hAnsi="Times New Roman" w:cs="Times New Roman"/>
          <w:sz w:val="24"/>
          <w:szCs w:val="24"/>
          <w:lang w:val="en-US"/>
        </w:rPr>
        <w:t xml:space="preserve">completion of </w:t>
      </w:r>
      <w:r w:rsidR="008702F9">
        <w:rPr>
          <w:rFonts w:ascii="Times New Roman" w:hAnsi="Times New Roman" w:cs="Times New Roman"/>
          <w:sz w:val="24"/>
          <w:szCs w:val="24"/>
          <w:lang w:val="en-US"/>
        </w:rPr>
        <w:t xml:space="preserve">mass vaccination </w:t>
      </w:r>
      <w:r w:rsidR="00D649D1">
        <w:rPr>
          <w:rFonts w:ascii="Times New Roman" w:hAnsi="Times New Roman" w:cs="Times New Roman"/>
          <w:sz w:val="24"/>
          <w:szCs w:val="24"/>
          <w:lang w:val="en-US"/>
        </w:rPr>
        <w:t xml:space="preserve">of the high-risk groups </w:t>
      </w:r>
      <w:r w:rsidR="008702F9">
        <w:rPr>
          <w:rFonts w:ascii="Times New Roman" w:hAnsi="Times New Roman" w:cs="Times New Roman"/>
          <w:sz w:val="24"/>
          <w:szCs w:val="24"/>
          <w:lang w:val="en-US"/>
        </w:rPr>
        <w:t xml:space="preserve">is </w:t>
      </w:r>
      <w:r w:rsidR="00EE253D">
        <w:rPr>
          <w:rFonts w:ascii="Times New Roman" w:hAnsi="Times New Roman" w:cs="Times New Roman"/>
          <w:sz w:val="24"/>
          <w:szCs w:val="24"/>
          <w:lang w:val="en-US"/>
        </w:rPr>
        <w:t xml:space="preserve">ten </w:t>
      </w:r>
      <w:r w:rsidR="00D649D1">
        <w:rPr>
          <w:rFonts w:ascii="Times New Roman" w:hAnsi="Times New Roman" w:cs="Times New Roman"/>
          <w:sz w:val="24"/>
          <w:szCs w:val="24"/>
          <w:lang w:val="en-US"/>
        </w:rPr>
        <w:t xml:space="preserve">months </w:t>
      </w:r>
      <w:r w:rsidR="008702F9">
        <w:rPr>
          <w:rFonts w:ascii="Times New Roman" w:hAnsi="Times New Roman" w:cs="Times New Roman"/>
          <w:sz w:val="24"/>
          <w:szCs w:val="24"/>
          <w:lang w:val="en-US"/>
        </w:rPr>
        <w:t>away (from 30 December 2020).</w:t>
      </w:r>
      <w:r w:rsidR="008702F9">
        <w:rPr>
          <w:rStyle w:val="FootnoteReference"/>
          <w:rFonts w:ascii="Times New Roman" w:hAnsi="Times New Roman" w:cs="Times New Roman"/>
          <w:sz w:val="24"/>
          <w:szCs w:val="24"/>
          <w:lang w:val="en-US"/>
        </w:rPr>
        <w:footnoteReference w:id="28"/>
      </w:r>
      <w:r w:rsidR="008702F9">
        <w:rPr>
          <w:rFonts w:ascii="Times New Roman" w:hAnsi="Times New Roman" w:cs="Times New Roman"/>
          <w:sz w:val="24"/>
          <w:szCs w:val="24"/>
          <w:lang w:val="en-US"/>
        </w:rPr>
        <w:t xml:space="preserve">  So, for </w:t>
      </w:r>
      <w:r w:rsidR="008702F9" w:rsidRPr="0055532D">
        <w:rPr>
          <w:rFonts w:ascii="Times New Roman" w:hAnsi="Times New Roman" w:cs="Times New Roman"/>
          <w:i/>
          <w:sz w:val="24"/>
          <w:szCs w:val="24"/>
          <w:lang w:val="en-US"/>
        </w:rPr>
        <w:t>N</w:t>
      </w:r>
      <w:r w:rsidR="001674DD">
        <w:rPr>
          <w:rFonts w:ascii="Times New Roman" w:hAnsi="Times New Roman" w:cs="Times New Roman"/>
          <w:sz w:val="24"/>
          <w:szCs w:val="24"/>
          <w:lang w:val="en-US"/>
        </w:rPr>
        <w:t xml:space="preserve"> = </w:t>
      </w:r>
      <w:r w:rsidR="00121A10">
        <w:rPr>
          <w:rFonts w:ascii="Times New Roman" w:hAnsi="Times New Roman" w:cs="Times New Roman"/>
          <w:sz w:val="24"/>
          <w:szCs w:val="24"/>
          <w:lang w:val="en-US"/>
        </w:rPr>
        <w:t>14</w:t>
      </w:r>
      <w:r w:rsidR="008702F9">
        <w:rPr>
          <w:rFonts w:ascii="Times New Roman" w:hAnsi="Times New Roman" w:cs="Times New Roman"/>
          <w:sz w:val="24"/>
          <w:szCs w:val="24"/>
          <w:lang w:val="en-US"/>
        </w:rPr>
        <w:t xml:space="preserve"> to prevail, the expected loss in lives in Europe over </w:t>
      </w:r>
      <w:r w:rsidR="00B17B3A">
        <w:rPr>
          <w:rFonts w:ascii="Times New Roman" w:hAnsi="Times New Roman" w:cs="Times New Roman"/>
          <w:sz w:val="24"/>
          <w:szCs w:val="24"/>
          <w:lang w:val="en-US"/>
        </w:rPr>
        <w:t xml:space="preserve">the next </w:t>
      </w:r>
      <w:r w:rsidR="00EE253D">
        <w:rPr>
          <w:rFonts w:ascii="Times New Roman" w:hAnsi="Times New Roman" w:cs="Times New Roman"/>
          <w:sz w:val="24"/>
          <w:szCs w:val="24"/>
          <w:lang w:val="en-US"/>
        </w:rPr>
        <w:t xml:space="preserve">ten </w:t>
      </w:r>
      <w:r w:rsidR="00D649D1">
        <w:rPr>
          <w:rFonts w:ascii="Times New Roman" w:hAnsi="Times New Roman" w:cs="Times New Roman"/>
          <w:sz w:val="24"/>
          <w:szCs w:val="24"/>
          <w:lang w:val="en-US"/>
        </w:rPr>
        <w:t xml:space="preserve">months </w:t>
      </w:r>
      <w:r w:rsidR="00B17B3A">
        <w:rPr>
          <w:rFonts w:ascii="Times New Roman" w:hAnsi="Times New Roman" w:cs="Times New Roman"/>
          <w:sz w:val="24"/>
          <w:szCs w:val="24"/>
          <w:lang w:val="en-US"/>
        </w:rPr>
        <w:t xml:space="preserve">would have to be </w:t>
      </w:r>
      <w:r w:rsidR="00121A10">
        <w:rPr>
          <w:rFonts w:ascii="Times New Roman" w:hAnsi="Times New Roman" w:cs="Times New Roman"/>
          <w:sz w:val="24"/>
          <w:szCs w:val="24"/>
          <w:lang w:val="en-US"/>
        </w:rPr>
        <w:t xml:space="preserve">13 </w:t>
      </w:r>
      <w:r w:rsidR="008702F9">
        <w:rPr>
          <w:rFonts w:ascii="Times New Roman" w:hAnsi="Times New Roman" w:cs="Times New Roman"/>
          <w:sz w:val="24"/>
          <w:szCs w:val="24"/>
          <w:lang w:val="en-US"/>
        </w:rPr>
        <w:t>times that for the ten months up to 30 December (since the first deaths in Europe in late February), which would require a daily death r</w:t>
      </w:r>
      <w:r w:rsidR="00B17B3A">
        <w:rPr>
          <w:rFonts w:ascii="Times New Roman" w:hAnsi="Times New Roman" w:cs="Times New Roman"/>
          <w:sz w:val="24"/>
          <w:szCs w:val="24"/>
          <w:lang w:val="en-US"/>
        </w:rPr>
        <w:t>ate over</w:t>
      </w:r>
      <w:r w:rsidR="00D649D1">
        <w:rPr>
          <w:rFonts w:ascii="Times New Roman" w:hAnsi="Times New Roman" w:cs="Times New Roman"/>
          <w:sz w:val="24"/>
          <w:szCs w:val="24"/>
          <w:lang w:val="en-US"/>
        </w:rPr>
        <w:t xml:space="preserve"> the next </w:t>
      </w:r>
      <w:r w:rsidR="00C36252">
        <w:rPr>
          <w:rFonts w:ascii="Times New Roman" w:hAnsi="Times New Roman" w:cs="Times New Roman"/>
          <w:sz w:val="24"/>
          <w:szCs w:val="24"/>
          <w:lang w:val="en-US"/>
        </w:rPr>
        <w:t xml:space="preserve">ten months </w:t>
      </w:r>
      <w:r w:rsidR="00D649D1">
        <w:rPr>
          <w:rFonts w:ascii="Times New Roman" w:hAnsi="Times New Roman" w:cs="Times New Roman"/>
          <w:sz w:val="24"/>
          <w:szCs w:val="24"/>
          <w:lang w:val="en-US"/>
        </w:rPr>
        <w:t xml:space="preserve">that is </w:t>
      </w:r>
      <w:r w:rsidR="00121A10">
        <w:rPr>
          <w:rFonts w:ascii="Times New Roman" w:hAnsi="Times New Roman" w:cs="Times New Roman"/>
          <w:sz w:val="24"/>
          <w:szCs w:val="24"/>
          <w:lang w:val="en-US"/>
        </w:rPr>
        <w:t>13</w:t>
      </w:r>
      <w:r w:rsidR="00B90594">
        <w:rPr>
          <w:rFonts w:ascii="Times New Roman" w:hAnsi="Times New Roman" w:cs="Times New Roman"/>
          <w:sz w:val="24"/>
          <w:szCs w:val="24"/>
          <w:lang w:val="en-US"/>
        </w:rPr>
        <w:t xml:space="preserve"> </w:t>
      </w:r>
      <w:r w:rsidR="008702F9">
        <w:rPr>
          <w:rFonts w:ascii="Times New Roman" w:hAnsi="Times New Roman" w:cs="Times New Roman"/>
          <w:sz w:val="24"/>
          <w:szCs w:val="24"/>
          <w:lang w:val="en-US"/>
        </w:rPr>
        <w:t>times that for the ten months up to 30 December.  This does not seem plausible</w:t>
      </w:r>
      <w:r w:rsidR="009327F2">
        <w:rPr>
          <w:rFonts w:ascii="Times New Roman" w:hAnsi="Times New Roman" w:cs="Times New Roman"/>
          <w:sz w:val="24"/>
          <w:szCs w:val="24"/>
          <w:lang w:val="en-US"/>
        </w:rPr>
        <w:t xml:space="preserve">, especially in view of the fact that mass vaccination </w:t>
      </w:r>
      <w:r w:rsidR="00F92444">
        <w:rPr>
          <w:rFonts w:ascii="Times New Roman" w:hAnsi="Times New Roman" w:cs="Times New Roman"/>
          <w:sz w:val="24"/>
          <w:szCs w:val="24"/>
          <w:lang w:val="en-US"/>
        </w:rPr>
        <w:t xml:space="preserve">has </w:t>
      </w:r>
      <w:r w:rsidR="009327F2">
        <w:rPr>
          <w:rFonts w:ascii="Times New Roman" w:hAnsi="Times New Roman" w:cs="Times New Roman"/>
          <w:sz w:val="24"/>
          <w:szCs w:val="24"/>
          <w:lang w:val="en-US"/>
        </w:rPr>
        <w:t>already begun</w:t>
      </w:r>
      <w:r w:rsidR="008702F9">
        <w:rPr>
          <w:rFonts w:ascii="Times New Roman" w:hAnsi="Times New Roman" w:cs="Times New Roman"/>
          <w:sz w:val="24"/>
          <w:szCs w:val="24"/>
          <w:lang w:val="en-US"/>
        </w:rPr>
        <w:t xml:space="preserve">.  </w:t>
      </w:r>
    </w:p>
    <w:p w14:paraId="4752C86E" w14:textId="77777777" w:rsidR="008702F9" w:rsidRDefault="008702F9" w:rsidP="008702F9">
      <w:pPr>
        <w:spacing w:after="0" w:line="360" w:lineRule="auto"/>
        <w:jc w:val="both"/>
        <w:rPr>
          <w:rFonts w:ascii="Times New Roman" w:hAnsi="Times New Roman" w:cs="Times New Roman"/>
          <w:sz w:val="24"/>
          <w:szCs w:val="24"/>
          <w:lang w:val="en-US"/>
        </w:rPr>
      </w:pPr>
    </w:p>
    <w:p w14:paraId="4DE011F5" w14:textId="77777777" w:rsidR="008702F9" w:rsidRDefault="008702F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E21C51">
        <w:rPr>
          <w:rFonts w:ascii="Times New Roman" w:hAnsi="Times New Roman" w:cs="Times New Roman"/>
          <w:sz w:val="24"/>
          <w:szCs w:val="24"/>
          <w:lang w:val="en-US"/>
        </w:rPr>
        <w:t>the cost per QALY saved by lockdown is well in excess of the standard benchmark figure.</w:t>
      </w:r>
      <w:r>
        <w:rPr>
          <w:rFonts w:ascii="Times New Roman" w:hAnsi="Times New Roman" w:cs="Times New Roman"/>
          <w:sz w:val="24"/>
          <w:szCs w:val="24"/>
          <w:lang w:val="en-US"/>
        </w:rPr>
        <w:t xml:space="preserve">  This conclusion is strengthened by the fact that many of the pa</w:t>
      </w:r>
      <w:r w:rsidR="008516B2">
        <w:rPr>
          <w:rFonts w:ascii="Times New Roman" w:hAnsi="Times New Roman" w:cs="Times New Roman"/>
          <w:sz w:val="24"/>
          <w:szCs w:val="24"/>
          <w:lang w:val="en-US"/>
        </w:rPr>
        <w:t>rameter estimates in equation</w:t>
      </w:r>
      <w:r w:rsidR="00121A10">
        <w:rPr>
          <w:rFonts w:ascii="Times New Roman" w:hAnsi="Times New Roman" w:cs="Times New Roman"/>
          <w:sz w:val="24"/>
          <w:szCs w:val="24"/>
          <w:lang w:val="en-US"/>
        </w:rPr>
        <w:t>s</w:t>
      </w:r>
      <w:r w:rsidR="008516B2">
        <w:rPr>
          <w:rFonts w:ascii="Times New Roman" w:hAnsi="Times New Roman" w:cs="Times New Roman"/>
          <w:sz w:val="24"/>
          <w:szCs w:val="24"/>
          <w:lang w:val="en-US"/>
        </w:rPr>
        <w:t xml:space="preserve"> (7</w:t>
      </w:r>
      <w:r w:rsidR="00121A10">
        <w:rPr>
          <w:rFonts w:ascii="Times New Roman" w:hAnsi="Times New Roman" w:cs="Times New Roman"/>
          <w:sz w:val="24"/>
          <w:szCs w:val="24"/>
          <w:lang w:val="en-US"/>
        </w:rPr>
        <w:t xml:space="preserve">), (8) and (9) </w:t>
      </w:r>
      <w:r>
        <w:rPr>
          <w:rFonts w:ascii="Times New Roman" w:hAnsi="Times New Roman" w:cs="Times New Roman"/>
          <w:sz w:val="24"/>
          <w:szCs w:val="24"/>
          <w:lang w:val="en-US"/>
        </w:rPr>
        <w:t xml:space="preserve">are towards the end of their probability distributions that yield the lowest possible cost per QALY, most particularly the </w:t>
      </w:r>
      <w:r w:rsidR="008516B2">
        <w:rPr>
          <w:rFonts w:ascii="Times New Roman" w:hAnsi="Times New Roman" w:cs="Times New Roman"/>
          <w:sz w:val="24"/>
          <w:szCs w:val="24"/>
          <w:lang w:val="en-US"/>
        </w:rPr>
        <w:t>68</w:t>
      </w:r>
      <w:r w:rsidR="00B17B3A">
        <w:rPr>
          <w:rFonts w:ascii="Times New Roman" w:hAnsi="Times New Roman" w:cs="Times New Roman"/>
          <w:sz w:val="24"/>
          <w:szCs w:val="24"/>
          <w:lang w:val="en-US"/>
        </w:rPr>
        <w:t>,000</w:t>
      </w:r>
      <w:r>
        <w:rPr>
          <w:rFonts w:ascii="Times New Roman" w:hAnsi="Times New Roman" w:cs="Times New Roman"/>
          <w:sz w:val="24"/>
          <w:szCs w:val="24"/>
          <w:lang w:val="en-US"/>
        </w:rPr>
        <w:t xml:space="preserve"> extra QALYs </w:t>
      </w:r>
      <w:r w:rsidR="00B17B3A">
        <w:rPr>
          <w:rFonts w:ascii="Times New Roman" w:hAnsi="Times New Roman" w:cs="Times New Roman"/>
          <w:sz w:val="24"/>
          <w:szCs w:val="24"/>
          <w:lang w:val="en-US"/>
        </w:rPr>
        <w:t>lost from mitigation</w:t>
      </w:r>
      <w:r w:rsidR="00D649D1">
        <w:rPr>
          <w:rFonts w:ascii="Times New Roman" w:hAnsi="Times New Roman" w:cs="Times New Roman"/>
          <w:sz w:val="24"/>
          <w:szCs w:val="24"/>
          <w:lang w:val="en-US"/>
        </w:rPr>
        <w:t xml:space="preserve"> </w:t>
      </w:r>
      <w:r w:rsidR="004A49E7">
        <w:rPr>
          <w:rFonts w:ascii="Times New Roman" w:hAnsi="Times New Roman" w:cs="Times New Roman"/>
          <w:sz w:val="24"/>
          <w:szCs w:val="24"/>
          <w:lang w:val="en-US"/>
        </w:rPr>
        <w:t xml:space="preserve">(likely to be too high) </w:t>
      </w:r>
      <w:r w:rsidR="00EB2F12">
        <w:rPr>
          <w:rFonts w:ascii="Times New Roman" w:hAnsi="Times New Roman" w:cs="Times New Roman"/>
          <w:sz w:val="24"/>
          <w:szCs w:val="24"/>
          <w:lang w:val="en-US"/>
        </w:rPr>
        <w:t>and the $16</w:t>
      </w:r>
      <w:r w:rsidR="00D649D1">
        <w:rPr>
          <w:rFonts w:ascii="Times New Roman" w:hAnsi="Times New Roman" w:cs="Times New Roman"/>
          <w:sz w:val="24"/>
          <w:szCs w:val="24"/>
          <w:lang w:val="en-US"/>
        </w:rPr>
        <w:t>0</w:t>
      </w:r>
      <w:r>
        <w:rPr>
          <w:rFonts w:ascii="Times New Roman" w:hAnsi="Times New Roman" w:cs="Times New Roman"/>
          <w:sz w:val="24"/>
          <w:szCs w:val="24"/>
          <w:lang w:val="en-US"/>
        </w:rPr>
        <w:t>b GDP loss due to lockdown rather than mitigation</w:t>
      </w:r>
      <w:r w:rsidR="004A49E7">
        <w:rPr>
          <w:rFonts w:ascii="Times New Roman" w:hAnsi="Times New Roman" w:cs="Times New Roman"/>
          <w:sz w:val="24"/>
          <w:szCs w:val="24"/>
          <w:lang w:val="en-US"/>
        </w:rPr>
        <w:t xml:space="preserve"> (likely to be too low)</w:t>
      </w:r>
      <w:r w:rsidR="00B90594">
        <w:rPr>
          <w:rFonts w:ascii="Times New Roman" w:hAnsi="Times New Roman" w:cs="Times New Roman"/>
          <w:sz w:val="24"/>
          <w:szCs w:val="24"/>
          <w:lang w:val="en-US"/>
        </w:rPr>
        <w:t xml:space="preserve">.  This </w:t>
      </w:r>
      <w:r>
        <w:rPr>
          <w:rFonts w:ascii="Times New Roman" w:hAnsi="Times New Roman" w:cs="Times New Roman"/>
          <w:sz w:val="24"/>
          <w:szCs w:val="24"/>
          <w:lang w:val="en-US"/>
        </w:rPr>
        <w:t>conclusion is also strengthened by the fact that</w:t>
      </w:r>
      <w:r w:rsidR="000003D8">
        <w:rPr>
          <w:rFonts w:ascii="Times New Roman" w:hAnsi="Times New Roman" w:cs="Times New Roman"/>
          <w:sz w:val="24"/>
          <w:szCs w:val="24"/>
          <w:lang w:val="en-US"/>
        </w:rPr>
        <w:t>, apart from the allowance within equations (8) and (9) for the contemporaneous effect of being unemployed on the unemployed,</w:t>
      </w:r>
      <w:r>
        <w:rPr>
          <w:rFonts w:ascii="Times New Roman" w:hAnsi="Times New Roman" w:cs="Times New Roman"/>
          <w:sz w:val="24"/>
          <w:szCs w:val="24"/>
          <w:lang w:val="en-US"/>
        </w:rPr>
        <w:t xml:space="preserve"> no allowance has been made for various phenomena that would raise the costs of lockdowns but cannot </w:t>
      </w:r>
      <w:r w:rsidR="000646C2">
        <w:rPr>
          <w:rFonts w:ascii="Times New Roman" w:hAnsi="Times New Roman" w:cs="Times New Roman"/>
          <w:sz w:val="24"/>
          <w:szCs w:val="24"/>
          <w:lang w:val="en-US"/>
        </w:rPr>
        <w:t xml:space="preserve">readily </w:t>
      </w:r>
      <w:r>
        <w:rPr>
          <w:rFonts w:ascii="Times New Roman" w:hAnsi="Times New Roman" w:cs="Times New Roman"/>
          <w:sz w:val="24"/>
          <w:szCs w:val="24"/>
          <w:lang w:val="en-US"/>
        </w:rPr>
        <w:t>be quantified</w:t>
      </w:r>
      <w:r w:rsidR="000003D8">
        <w:rPr>
          <w:rFonts w:ascii="Times New Roman" w:hAnsi="Times New Roman" w:cs="Times New Roman"/>
          <w:sz w:val="24"/>
          <w:szCs w:val="24"/>
          <w:lang w:val="en-US"/>
        </w:rPr>
        <w:t>: problems arising from increased unemployment</w:t>
      </w:r>
      <w:r>
        <w:rPr>
          <w:rFonts w:ascii="Times New Roman" w:hAnsi="Times New Roman" w:cs="Times New Roman"/>
          <w:sz w:val="24"/>
          <w:szCs w:val="24"/>
          <w:lang w:val="en-US"/>
        </w:rPr>
        <w:t xml:space="preserve"> (addiction, crime, domestic violence, mental health problems, and premature death), </w:t>
      </w:r>
      <w:r w:rsidR="00B31B1C">
        <w:rPr>
          <w:rFonts w:ascii="Times New Roman" w:hAnsi="Times New Roman" w:cs="Times New Roman"/>
          <w:sz w:val="24"/>
          <w:szCs w:val="24"/>
          <w:lang w:val="en-US"/>
        </w:rPr>
        <w:t xml:space="preserve">loss of social interactions, increased anxiety, </w:t>
      </w:r>
      <w:r>
        <w:rPr>
          <w:rFonts w:ascii="Times New Roman" w:hAnsi="Times New Roman" w:cs="Times New Roman"/>
          <w:sz w:val="24"/>
          <w:szCs w:val="24"/>
          <w:lang w:val="en-US"/>
        </w:rPr>
        <w:t xml:space="preserve">disruption to the education of the Covid-19 student cohort, and the deprival of liberties that people would otherwise enjoy.  </w:t>
      </w:r>
    </w:p>
    <w:p w14:paraId="281DB05C" w14:textId="77777777" w:rsidR="005C07EA" w:rsidRDefault="005C07EA" w:rsidP="008702F9">
      <w:pPr>
        <w:spacing w:after="0" w:line="360" w:lineRule="auto"/>
        <w:jc w:val="both"/>
        <w:rPr>
          <w:rFonts w:ascii="Times New Roman" w:hAnsi="Times New Roman" w:cs="Times New Roman"/>
          <w:sz w:val="24"/>
          <w:szCs w:val="24"/>
          <w:lang w:val="en-US"/>
        </w:rPr>
      </w:pPr>
    </w:p>
    <w:p w14:paraId="1603706C" w14:textId="77777777" w:rsidR="001A7D2A" w:rsidRPr="001A7D2A" w:rsidRDefault="001A7D2A" w:rsidP="008702F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The Merits of Lockdown Versus Mitigation Using Data Available in March 2020</w:t>
      </w:r>
    </w:p>
    <w:p w14:paraId="1CFC9F27" w14:textId="77777777" w:rsidR="001A7D2A" w:rsidRDefault="001A7D2A" w:rsidP="008702F9">
      <w:pPr>
        <w:spacing w:after="0" w:line="360" w:lineRule="auto"/>
        <w:jc w:val="both"/>
        <w:rPr>
          <w:rFonts w:ascii="Times New Roman" w:hAnsi="Times New Roman" w:cs="Times New Roman"/>
          <w:sz w:val="24"/>
          <w:szCs w:val="24"/>
          <w:lang w:val="en-US"/>
        </w:rPr>
      </w:pPr>
    </w:p>
    <w:p w14:paraId="22724C53" w14:textId="77777777" w:rsidR="000B6F09" w:rsidRDefault="00D00CB0"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now consider the merits of the lockdown decision using data available in March 2020.  </w:t>
      </w:r>
      <w:r w:rsidR="00E21C51">
        <w:rPr>
          <w:rFonts w:ascii="Times New Roman" w:hAnsi="Times New Roman" w:cs="Times New Roman"/>
          <w:sz w:val="24"/>
          <w:szCs w:val="24"/>
          <w:lang w:val="en-US"/>
        </w:rPr>
        <w:t xml:space="preserve">I focus upon equation (7).  The denominator there must be replaced by an estimate derived from contemporaneous data.  </w:t>
      </w:r>
      <w:r w:rsidR="005C07EA">
        <w:rPr>
          <w:rFonts w:ascii="Times New Roman" w:hAnsi="Times New Roman" w:cs="Times New Roman"/>
          <w:sz w:val="24"/>
          <w:szCs w:val="24"/>
          <w:lang w:val="en-US"/>
        </w:rPr>
        <w:t xml:space="preserve">In </w:t>
      </w:r>
      <w:proofErr w:type="spellStart"/>
      <w:r w:rsidR="00C3311D">
        <w:rPr>
          <w:rFonts w:ascii="Times New Roman" w:hAnsi="Times New Roman" w:cs="Times New Roman"/>
          <w:sz w:val="24"/>
          <w:szCs w:val="24"/>
          <w:lang w:val="en-US"/>
        </w:rPr>
        <w:t xml:space="preserve">mid </w:t>
      </w:r>
      <w:r w:rsidR="005C07EA">
        <w:rPr>
          <w:rFonts w:ascii="Times New Roman" w:hAnsi="Times New Roman" w:cs="Times New Roman"/>
          <w:sz w:val="24"/>
          <w:szCs w:val="24"/>
          <w:lang w:val="en-US"/>
        </w:rPr>
        <w:t>March</w:t>
      </w:r>
      <w:proofErr w:type="spellEnd"/>
      <w:r w:rsidR="005C07EA">
        <w:rPr>
          <w:rFonts w:ascii="Times New Roman" w:hAnsi="Times New Roman" w:cs="Times New Roman"/>
          <w:sz w:val="24"/>
          <w:szCs w:val="24"/>
          <w:lang w:val="en-US"/>
        </w:rPr>
        <w:t xml:space="preserve"> 2020, the Australian government believed that the </w:t>
      </w:r>
      <w:r w:rsidR="001A6BC9">
        <w:rPr>
          <w:rFonts w:ascii="Times New Roman" w:hAnsi="Times New Roman" w:cs="Times New Roman"/>
          <w:sz w:val="24"/>
          <w:szCs w:val="24"/>
          <w:lang w:val="en-US"/>
        </w:rPr>
        <w:t xml:space="preserve">death toll without lockdown would be 50,000 – 150,000 dead, arising from 20% - 60% of the population being infected </w:t>
      </w:r>
      <w:r w:rsidR="005D11DF">
        <w:rPr>
          <w:rFonts w:ascii="Times New Roman" w:hAnsi="Times New Roman" w:cs="Times New Roman"/>
          <w:sz w:val="24"/>
          <w:szCs w:val="24"/>
          <w:lang w:val="en-US"/>
        </w:rPr>
        <w:t xml:space="preserve">and an </w:t>
      </w:r>
      <w:r w:rsidR="00590CF7">
        <w:rPr>
          <w:rFonts w:ascii="Times New Roman" w:hAnsi="Times New Roman" w:cs="Times New Roman"/>
          <w:sz w:val="24"/>
          <w:szCs w:val="24"/>
          <w:lang w:val="en-US"/>
        </w:rPr>
        <w:t xml:space="preserve">Infection Fatality Rate of </w:t>
      </w:r>
      <w:r w:rsidR="005D11DF">
        <w:rPr>
          <w:rFonts w:ascii="Times New Roman" w:hAnsi="Times New Roman" w:cs="Times New Roman"/>
          <w:sz w:val="24"/>
          <w:szCs w:val="24"/>
          <w:lang w:val="en-US"/>
        </w:rPr>
        <w:t xml:space="preserve">1% </w:t>
      </w:r>
      <w:r w:rsidR="005C07EA">
        <w:rPr>
          <w:rFonts w:ascii="Times New Roman" w:hAnsi="Times New Roman" w:cs="Times New Roman"/>
          <w:sz w:val="24"/>
          <w:szCs w:val="24"/>
          <w:lang w:val="en-US"/>
        </w:rPr>
        <w:t xml:space="preserve">(see page 2).  </w:t>
      </w:r>
      <w:r w:rsidR="00C3311D">
        <w:rPr>
          <w:rFonts w:ascii="Times New Roman" w:hAnsi="Times New Roman" w:cs="Times New Roman"/>
          <w:sz w:val="24"/>
          <w:szCs w:val="24"/>
          <w:lang w:val="en-US"/>
        </w:rPr>
        <w:t xml:space="preserve">A few days later, Blakely and Wilson (2020) estimated the death toll under </w:t>
      </w:r>
      <w:r w:rsidR="005D11DF">
        <w:rPr>
          <w:rFonts w:ascii="Times New Roman" w:hAnsi="Times New Roman" w:cs="Times New Roman"/>
          <w:sz w:val="24"/>
          <w:szCs w:val="24"/>
          <w:lang w:val="en-US"/>
        </w:rPr>
        <w:t xml:space="preserve">lockdown at 5,000 if successful and that under </w:t>
      </w:r>
      <w:r w:rsidR="00C3311D">
        <w:rPr>
          <w:rFonts w:ascii="Times New Roman" w:hAnsi="Times New Roman" w:cs="Times New Roman"/>
          <w:sz w:val="24"/>
          <w:szCs w:val="24"/>
          <w:lang w:val="en-US"/>
        </w:rPr>
        <w:t xml:space="preserve">mitigation </w:t>
      </w:r>
      <w:r w:rsidR="001A6BC9">
        <w:rPr>
          <w:rFonts w:ascii="Times New Roman" w:hAnsi="Times New Roman" w:cs="Times New Roman"/>
          <w:sz w:val="24"/>
          <w:szCs w:val="24"/>
          <w:lang w:val="en-US"/>
        </w:rPr>
        <w:t xml:space="preserve">at 25,000 – 55,000 along with 134,000 </w:t>
      </w:r>
      <w:r w:rsidR="005D11DF">
        <w:rPr>
          <w:rFonts w:ascii="Times New Roman" w:hAnsi="Times New Roman" w:cs="Times New Roman"/>
          <w:sz w:val="24"/>
          <w:szCs w:val="24"/>
          <w:lang w:val="en-US"/>
        </w:rPr>
        <w:t xml:space="preserve">dead and 60% infected </w:t>
      </w:r>
      <w:r w:rsidR="001A6BC9">
        <w:rPr>
          <w:rFonts w:ascii="Times New Roman" w:hAnsi="Times New Roman" w:cs="Times New Roman"/>
          <w:sz w:val="24"/>
          <w:szCs w:val="24"/>
          <w:lang w:val="en-US"/>
        </w:rPr>
        <w:t xml:space="preserve">if no mitigating actions were taken.  </w:t>
      </w:r>
      <w:r w:rsidR="005D11DF">
        <w:rPr>
          <w:rFonts w:ascii="Times New Roman" w:hAnsi="Times New Roman" w:cs="Times New Roman"/>
          <w:sz w:val="24"/>
          <w:szCs w:val="24"/>
          <w:lang w:val="en-US"/>
        </w:rPr>
        <w:t>This suggests that the Australian government’s worst case assumed no mitigating actions, and therefore the best estimate</w:t>
      </w:r>
      <w:r w:rsidR="00A94D85">
        <w:rPr>
          <w:rFonts w:ascii="Times New Roman" w:hAnsi="Times New Roman" w:cs="Times New Roman"/>
          <w:sz w:val="24"/>
          <w:szCs w:val="24"/>
          <w:lang w:val="en-US"/>
        </w:rPr>
        <w:t xml:space="preserve">s </w:t>
      </w:r>
      <w:r w:rsidR="00782ADD">
        <w:rPr>
          <w:rFonts w:ascii="Times New Roman" w:hAnsi="Times New Roman" w:cs="Times New Roman"/>
          <w:sz w:val="24"/>
          <w:szCs w:val="24"/>
          <w:lang w:val="en-US"/>
        </w:rPr>
        <w:t xml:space="preserve">in March 2020 </w:t>
      </w:r>
      <w:r w:rsidR="00A94D85">
        <w:rPr>
          <w:rFonts w:ascii="Times New Roman" w:hAnsi="Times New Roman" w:cs="Times New Roman"/>
          <w:sz w:val="24"/>
          <w:szCs w:val="24"/>
          <w:lang w:val="en-US"/>
        </w:rPr>
        <w:t xml:space="preserve">of the death tolls under </w:t>
      </w:r>
      <w:r w:rsidR="005D11DF">
        <w:rPr>
          <w:rFonts w:ascii="Times New Roman" w:hAnsi="Times New Roman" w:cs="Times New Roman"/>
          <w:sz w:val="24"/>
          <w:szCs w:val="24"/>
          <w:lang w:val="en-US"/>
        </w:rPr>
        <w:t>mitigation and lockdown</w:t>
      </w:r>
      <w:r w:rsidR="00A94D85">
        <w:rPr>
          <w:rFonts w:ascii="Times New Roman" w:hAnsi="Times New Roman" w:cs="Times New Roman"/>
          <w:sz w:val="24"/>
          <w:szCs w:val="24"/>
          <w:lang w:val="en-US"/>
        </w:rPr>
        <w:t xml:space="preserve"> were 40,000 (the midpoint of 25,000 and 55,000) and 5,000 respectively</w:t>
      </w:r>
      <w:r w:rsidR="005D11DF">
        <w:rPr>
          <w:rFonts w:ascii="Times New Roman" w:hAnsi="Times New Roman" w:cs="Times New Roman"/>
          <w:sz w:val="24"/>
          <w:szCs w:val="24"/>
          <w:lang w:val="en-US"/>
        </w:rPr>
        <w:t xml:space="preserve">.  Assuming </w:t>
      </w:r>
      <w:r w:rsidR="00E570D7">
        <w:rPr>
          <w:rFonts w:ascii="Times New Roman" w:hAnsi="Times New Roman" w:cs="Times New Roman"/>
          <w:sz w:val="24"/>
          <w:szCs w:val="24"/>
          <w:lang w:val="en-US"/>
        </w:rPr>
        <w:t xml:space="preserve">lockdown was </w:t>
      </w:r>
      <w:r w:rsidR="000B6F09">
        <w:rPr>
          <w:rFonts w:ascii="Times New Roman" w:hAnsi="Times New Roman" w:cs="Times New Roman"/>
          <w:sz w:val="24"/>
          <w:szCs w:val="24"/>
          <w:lang w:val="en-US"/>
        </w:rPr>
        <w:t xml:space="preserve">bound to be </w:t>
      </w:r>
      <w:r w:rsidR="00E570D7">
        <w:rPr>
          <w:rFonts w:ascii="Times New Roman" w:hAnsi="Times New Roman" w:cs="Times New Roman"/>
          <w:sz w:val="24"/>
          <w:szCs w:val="24"/>
          <w:lang w:val="en-US"/>
        </w:rPr>
        <w:t xml:space="preserve">successful, this </w:t>
      </w:r>
      <w:r w:rsidR="005D11DF">
        <w:rPr>
          <w:rFonts w:ascii="Times New Roman" w:hAnsi="Times New Roman" w:cs="Times New Roman"/>
          <w:sz w:val="24"/>
          <w:szCs w:val="24"/>
          <w:lang w:val="en-US"/>
        </w:rPr>
        <w:t>implies (40,000 – 5,000)*5*0.8 = 140</w:t>
      </w:r>
      <w:r w:rsidR="005C07EA">
        <w:rPr>
          <w:rFonts w:ascii="Times New Roman" w:hAnsi="Times New Roman" w:cs="Times New Roman"/>
          <w:sz w:val="24"/>
          <w:szCs w:val="24"/>
          <w:lang w:val="en-US"/>
        </w:rPr>
        <w:t>,000 QALYs</w:t>
      </w:r>
      <w:r w:rsidR="00E570D7">
        <w:rPr>
          <w:rFonts w:ascii="Times New Roman" w:hAnsi="Times New Roman" w:cs="Times New Roman"/>
          <w:sz w:val="24"/>
          <w:szCs w:val="24"/>
          <w:lang w:val="en-US"/>
        </w:rPr>
        <w:t xml:space="preserve"> saved by locking down</w:t>
      </w:r>
      <w:r w:rsidR="005C07EA">
        <w:rPr>
          <w:rFonts w:ascii="Times New Roman" w:hAnsi="Times New Roman" w:cs="Times New Roman"/>
          <w:sz w:val="24"/>
          <w:szCs w:val="24"/>
          <w:lang w:val="en-US"/>
        </w:rPr>
        <w:t xml:space="preserve">.  </w:t>
      </w:r>
      <w:r w:rsidR="00E21C51">
        <w:rPr>
          <w:rFonts w:ascii="Times New Roman" w:hAnsi="Times New Roman" w:cs="Times New Roman"/>
          <w:sz w:val="24"/>
          <w:szCs w:val="24"/>
          <w:lang w:val="en-US"/>
        </w:rPr>
        <w:t xml:space="preserve">The medical costs in the numerator of equation (7) must also be raised to be consistent with the revised denominator value.  </w:t>
      </w:r>
      <w:proofErr w:type="spellStart"/>
      <w:r w:rsidR="00420292">
        <w:rPr>
          <w:rFonts w:ascii="Times New Roman" w:hAnsi="Times New Roman" w:cs="Times New Roman"/>
          <w:sz w:val="24"/>
          <w:szCs w:val="24"/>
          <w:lang w:val="en-US"/>
        </w:rPr>
        <w:t>Kompas</w:t>
      </w:r>
      <w:proofErr w:type="spellEnd"/>
      <w:r w:rsidR="00420292">
        <w:rPr>
          <w:rFonts w:ascii="Times New Roman" w:hAnsi="Times New Roman" w:cs="Times New Roman"/>
          <w:sz w:val="24"/>
          <w:szCs w:val="24"/>
          <w:lang w:val="en-US"/>
        </w:rPr>
        <w:t xml:space="preserve"> et al (2020, section 4.3) </w:t>
      </w:r>
      <w:r w:rsidR="00E21C51">
        <w:rPr>
          <w:rFonts w:ascii="Times New Roman" w:hAnsi="Times New Roman" w:cs="Times New Roman"/>
          <w:sz w:val="24"/>
          <w:szCs w:val="24"/>
          <w:lang w:val="en-US"/>
        </w:rPr>
        <w:t>estimates them at $23</w:t>
      </w:r>
      <w:r w:rsidR="00A94D85">
        <w:rPr>
          <w:rFonts w:ascii="Times New Roman" w:hAnsi="Times New Roman" w:cs="Times New Roman"/>
          <w:sz w:val="24"/>
          <w:szCs w:val="24"/>
          <w:lang w:val="en-US"/>
        </w:rPr>
        <w:t>.3</w:t>
      </w:r>
      <w:r w:rsidR="00E21C51">
        <w:rPr>
          <w:rFonts w:ascii="Times New Roman" w:hAnsi="Times New Roman" w:cs="Times New Roman"/>
          <w:sz w:val="24"/>
          <w:szCs w:val="24"/>
          <w:lang w:val="en-US"/>
        </w:rPr>
        <w:t>b under a worst-case death toll of 260,000.  S</w:t>
      </w:r>
      <w:r w:rsidR="00400623">
        <w:rPr>
          <w:rFonts w:ascii="Times New Roman" w:hAnsi="Times New Roman" w:cs="Times New Roman"/>
          <w:sz w:val="24"/>
          <w:szCs w:val="24"/>
          <w:lang w:val="en-US"/>
        </w:rPr>
        <w:t>caled to reflect 35</w:t>
      </w:r>
      <w:r w:rsidR="00420292">
        <w:rPr>
          <w:rFonts w:ascii="Times New Roman" w:hAnsi="Times New Roman" w:cs="Times New Roman"/>
          <w:sz w:val="24"/>
          <w:szCs w:val="24"/>
          <w:lang w:val="en-US"/>
        </w:rPr>
        <w:t xml:space="preserve">,000 </w:t>
      </w:r>
      <w:r w:rsidR="00400623">
        <w:rPr>
          <w:rFonts w:ascii="Times New Roman" w:hAnsi="Times New Roman" w:cs="Times New Roman"/>
          <w:sz w:val="24"/>
          <w:szCs w:val="24"/>
          <w:lang w:val="en-US"/>
        </w:rPr>
        <w:t xml:space="preserve">additional </w:t>
      </w:r>
      <w:r w:rsidR="00420292">
        <w:rPr>
          <w:rFonts w:ascii="Times New Roman" w:hAnsi="Times New Roman" w:cs="Times New Roman"/>
          <w:sz w:val="24"/>
          <w:szCs w:val="24"/>
          <w:lang w:val="en-US"/>
        </w:rPr>
        <w:t>deaths rather t</w:t>
      </w:r>
      <w:r w:rsidR="00E21C51">
        <w:rPr>
          <w:rFonts w:ascii="Times New Roman" w:hAnsi="Times New Roman" w:cs="Times New Roman"/>
          <w:sz w:val="24"/>
          <w:szCs w:val="24"/>
          <w:lang w:val="en-US"/>
        </w:rPr>
        <w:t>han their worst case</w:t>
      </w:r>
      <w:r w:rsidR="00420292">
        <w:rPr>
          <w:rFonts w:ascii="Times New Roman" w:hAnsi="Times New Roman" w:cs="Times New Roman"/>
          <w:sz w:val="24"/>
          <w:szCs w:val="24"/>
          <w:lang w:val="en-US"/>
        </w:rPr>
        <w:t xml:space="preserve">, </w:t>
      </w:r>
      <w:r w:rsidR="00655935">
        <w:rPr>
          <w:rFonts w:ascii="Times New Roman" w:hAnsi="Times New Roman" w:cs="Times New Roman"/>
          <w:sz w:val="24"/>
          <w:szCs w:val="24"/>
          <w:lang w:val="en-US"/>
        </w:rPr>
        <w:t xml:space="preserve">the </w:t>
      </w:r>
      <w:r w:rsidR="00400623">
        <w:rPr>
          <w:rFonts w:ascii="Times New Roman" w:hAnsi="Times New Roman" w:cs="Times New Roman"/>
          <w:sz w:val="24"/>
          <w:szCs w:val="24"/>
          <w:lang w:val="en-US"/>
        </w:rPr>
        <w:t>costs fall to $3</w:t>
      </w:r>
      <w:r w:rsidR="00782ADD">
        <w:rPr>
          <w:rFonts w:ascii="Times New Roman" w:hAnsi="Times New Roman" w:cs="Times New Roman"/>
          <w:sz w:val="24"/>
          <w:szCs w:val="24"/>
          <w:lang w:val="en-US"/>
        </w:rPr>
        <w:t>.1</w:t>
      </w:r>
      <w:r w:rsidR="00E21C51">
        <w:rPr>
          <w:rFonts w:ascii="Times New Roman" w:hAnsi="Times New Roman" w:cs="Times New Roman"/>
          <w:sz w:val="24"/>
          <w:szCs w:val="24"/>
          <w:lang w:val="en-US"/>
        </w:rPr>
        <w:t xml:space="preserve">b.  </w:t>
      </w:r>
    </w:p>
    <w:p w14:paraId="15E6C5A0" w14:textId="77777777" w:rsidR="000B6F09" w:rsidRDefault="000B6F09" w:rsidP="008702F9">
      <w:pPr>
        <w:spacing w:after="0" w:line="360" w:lineRule="auto"/>
        <w:jc w:val="both"/>
        <w:rPr>
          <w:rFonts w:ascii="Times New Roman" w:hAnsi="Times New Roman" w:cs="Times New Roman"/>
          <w:sz w:val="24"/>
          <w:szCs w:val="24"/>
          <w:lang w:val="en-US"/>
        </w:rPr>
      </w:pPr>
    </w:p>
    <w:p w14:paraId="51384AD0" w14:textId="77777777" w:rsidR="00237672" w:rsidRDefault="000B6F0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addition, GDP forecasts are required for March 2020 and from the same source just before the pandemic struck.  The </w:t>
      </w:r>
      <w:r w:rsidR="009B10AD">
        <w:rPr>
          <w:rFonts w:ascii="Times New Roman" w:hAnsi="Times New Roman" w:cs="Times New Roman"/>
          <w:sz w:val="24"/>
          <w:szCs w:val="24"/>
          <w:lang w:val="en-US"/>
        </w:rPr>
        <w:t>Australian Treasury provides forecasts only six monthly, in July and December.  By contrast, the RBA provides</w:t>
      </w:r>
      <w:r>
        <w:rPr>
          <w:rFonts w:ascii="Times New Roman" w:hAnsi="Times New Roman" w:cs="Times New Roman"/>
          <w:sz w:val="24"/>
          <w:szCs w:val="24"/>
          <w:lang w:val="en-US"/>
        </w:rPr>
        <w:t xml:space="preserve"> forecasts </w:t>
      </w:r>
      <w:r w:rsidR="009B10AD">
        <w:rPr>
          <w:rFonts w:ascii="Times New Roman" w:hAnsi="Times New Roman" w:cs="Times New Roman"/>
          <w:sz w:val="24"/>
          <w:szCs w:val="24"/>
          <w:lang w:val="en-US"/>
        </w:rPr>
        <w:t xml:space="preserve">every three months, and the relevant ones are </w:t>
      </w:r>
      <w:r>
        <w:rPr>
          <w:rFonts w:ascii="Times New Roman" w:hAnsi="Times New Roman" w:cs="Times New Roman"/>
          <w:sz w:val="24"/>
          <w:szCs w:val="24"/>
          <w:lang w:val="en-US"/>
        </w:rPr>
        <w:t>for November 2019, February 2020 and May 2020.  The first of these predate the pandemic, the second recognizes some GDP loss</w:t>
      </w:r>
      <w:r w:rsidR="009B10AD">
        <w:rPr>
          <w:rFonts w:ascii="Times New Roman" w:hAnsi="Times New Roman" w:cs="Times New Roman"/>
          <w:sz w:val="24"/>
          <w:szCs w:val="24"/>
          <w:lang w:val="en-US"/>
        </w:rPr>
        <w:t>es from the pandemic</w:t>
      </w:r>
      <w:r>
        <w:rPr>
          <w:rFonts w:ascii="Times New Roman" w:hAnsi="Times New Roman" w:cs="Times New Roman"/>
          <w:sz w:val="24"/>
          <w:szCs w:val="24"/>
          <w:lang w:val="en-US"/>
        </w:rPr>
        <w:t xml:space="preserve"> but only due to its impact on China</w:t>
      </w:r>
      <w:r w:rsidR="009B10AD">
        <w:rPr>
          <w:rFonts w:ascii="Times New Roman" w:hAnsi="Times New Roman" w:cs="Times New Roman"/>
          <w:sz w:val="24"/>
          <w:szCs w:val="24"/>
          <w:lang w:val="en-US"/>
        </w:rPr>
        <w:t>,</w:t>
      </w:r>
      <w:r>
        <w:rPr>
          <w:rFonts w:ascii="Times New Roman" w:hAnsi="Times New Roman" w:cs="Times New Roman"/>
          <w:sz w:val="24"/>
          <w:szCs w:val="24"/>
          <w:lang w:val="en-US"/>
        </w:rPr>
        <w:t xml:space="preserve"> whilst the third fully recognizes the pandemic.  I use the May </w:t>
      </w:r>
      <w:r w:rsidR="009B10AD">
        <w:rPr>
          <w:rFonts w:ascii="Times New Roman" w:hAnsi="Times New Roman" w:cs="Times New Roman"/>
          <w:sz w:val="24"/>
          <w:szCs w:val="24"/>
          <w:lang w:val="en-US"/>
        </w:rPr>
        <w:t xml:space="preserve">2020 </w:t>
      </w:r>
      <w:r>
        <w:rPr>
          <w:rFonts w:ascii="Times New Roman" w:hAnsi="Times New Roman" w:cs="Times New Roman"/>
          <w:sz w:val="24"/>
          <w:szCs w:val="24"/>
          <w:lang w:val="en-US"/>
        </w:rPr>
        <w:t xml:space="preserve">forecasts as a proxy for views in March, along with the November </w:t>
      </w:r>
      <w:r w:rsidR="009B10AD">
        <w:rPr>
          <w:rFonts w:ascii="Times New Roman" w:hAnsi="Times New Roman" w:cs="Times New Roman"/>
          <w:sz w:val="24"/>
          <w:szCs w:val="24"/>
          <w:lang w:val="en-US"/>
        </w:rPr>
        <w:t xml:space="preserve">2019 </w:t>
      </w:r>
      <w:r>
        <w:rPr>
          <w:rFonts w:ascii="Times New Roman" w:hAnsi="Times New Roman" w:cs="Times New Roman"/>
          <w:sz w:val="24"/>
          <w:szCs w:val="24"/>
          <w:lang w:val="en-US"/>
        </w:rPr>
        <w:t xml:space="preserve">forecasts.  For the years ended June 2020, 2021 and 2022, the November 2019 forecasts are </w:t>
      </w:r>
      <w:r w:rsidR="00C73B48">
        <w:rPr>
          <w:rFonts w:ascii="Times New Roman" w:hAnsi="Times New Roman" w:cs="Times New Roman"/>
          <w:sz w:val="24"/>
          <w:szCs w:val="24"/>
          <w:lang w:val="en-US"/>
        </w:rPr>
        <w:t>2.5%, 3% and 3%</w:t>
      </w:r>
      <w:r w:rsidR="00237672">
        <w:rPr>
          <w:rFonts w:ascii="Times New Roman" w:hAnsi="Times New Roman" w:cs="Times New Roman"/>
          <w:sz w:val="24"/>
          <w:szCs w:val="24"/>
          <w:lang w:val="en-US"/>
        </w:rPr>
        <w:t xml:space="preserve"> (RBA, 2019, Table 5.1)</w:t>
      </w:r>
      <w:r w:rsidR="00C73B48">
        <w:rPr>
          <w:rFonts w:ascii="Times New Roman" w:hAnsi="Times New Roman" w:cs="Times New Roman"/>
          <w:sz w:val="24"/>
          <w:szCs w:val="24"/>
          <w:lang w:val="en-US"/>
        </w:rPr>
        <w:t>, whilst the May 2020 forecasts for the same years are -8%, 7% and 5% respectively</w:t>
      </w:r>
      <w:r w:rsidR="00237672">
        <w:rPr>
          <w:rFonts w:ascii="Times New Roman" w:hAnsi="Times New Roman" w:cs="Times New Roman"/>
          <w:sz w:val="24"/>
          <w:szCs w:val="24"/>
          <w:lang w:val="en-US"/>
        </w:rPr>
        <w:t xml:space="preserve"> (RBA, 2020</w:t>
      </w:r>
      <w:r w:rsidR="00E90012">
        <w:rPr>
          <w:rFonts w:ascii="Times New Roman" w:hAnsi="Times New Roman" w:cs="Times New Roman"/>
          <w:sz w:val="24"/>
          <w:szCs w:val="24"/>
          <w:lang w:val="en-US"/>
        </w:rPr>
        <w:t>b</w:t>
      </w:r>
      <w:r w:rsidR="00237672">
        <w:rPr>
          <w:rFonts w:ascii="Times New Roman" w:hAnsi="Times New Roman" w:cs="Times New Roman"/>
          <w:sz w:val="24"/>
          <w:szCs w:val="24"/>
          <w:lang w:val="en-US"/>
        </w:rPr>
        <w:t>, Table 6.1)</w:t>
      </w:r>
      <w:r w:rsidR="00C73B48">
        <w:rPr>
          <w:rFonts w:ascii="Times New Roman" w:hAnsi="Times New Roman" w:cs="Times New Roman"/>
          <w:sz w:val="24"/>
          <w:szCs w:val="24"/>
          <w:lang w:val="en-US"/>
        </w:rPr>
        <w:t>.</w:t>
      </w:r>
      <w:r w:rsidR="00237672">
        <w:rPr>
          <w:rStyle w:val="FootnoteReference"/>
          <w:rFonts w:ascii="Times New Roman" w:hAnsi="Times New Roman" w:cs="Times New Roman"/>
          <w:sz w:val="24"/>
          <w:szCs w:val="24"/>
          <w:lang w:val="en-US"/>
        </w:rPr>
        <w:footnoteReference w:id="29"/>
      </w:r>
      <w:r w:rsidR="00C73B48">
        <w:rPr>
          <w:rFonts w:ascii="Times New Roman" w:hAnsi="Times New Roman" w:cs="Times New Roman"/>
          <w:sz w:val="24"/>
          <w:szCs w:val="24"/>
          <w:lang w:val="en-US"/>
        </w:rPr>
        <w:t xml:space="preserve">  Using these to estimate the GDP shortfall in </w:t>
      </w:r>
      <w:r w:rsidR="00D10256">
        <w:rPr>
          <w:rFonts w:ascii="Times New Roman" w:hAnsi="Times New Roman" w:cs="Times New Roman"/>
          <w:sz w:val="24"/>
          <w:szCs w:val="24"/>
          <w:lang w:val="en-US"/>
        </w:rPr>
        <w:t xml:space="preserve">the </w:t>
      </w:r>
      <w:r w:rsidR="00C73B48">
        <w:rPr>
          <w:rFonts w:ascii="Times New Roman" w:hAnsi="Times New Roman" w:cs="Times New Roman"/>
          <w:sz w:val="24"/>
          <w:szCs w:val="24"/>
          <w:lang w:val="en-US"/>
        </w:rPr>
        <w:t>same way as Table 2, the result is 21.5% of 2019 GDP.  Since Australia’s 2018-</w:t>
      </w:r>
      <w:r w:rsidR="008D6D4C">
        <w:rPr>
          <w:rFonts w:ascii="Times New Roman" w:hAnsi="Times New Roman" w:cs="Times New Roman"/>
          <w:sz w:val="24"/>
          <w:szCs w:val="24"/>
          <w:lang w:val="en-US"/>
        </w:rPr>
        <w:t>19 GDP was $1,950b, this is $420</w:t>
      </w:r>
      <w:r w:rsidR="00C73B48">
        <w:rPr>
          <w:rFonts w:ascii="Times New Roman" w:hAnsi="Times New Roman" w:cs="Times New Roman"/>
          <w:sz w:val="24"/>
          <w:szCs w:val="24"/>
          <w:lang w:val="en-US"/>
        </w:rPr>
        <w:t>b.</w:t>
      </w:r>
      <w:r w:rsidR="00C73B48">
        <w:rPr>
          <w:rStyle w:val="FootnoteReference"/>
          <w:rFonts w:ascii="Times New Roman" w:hAnsi="Times New Roman" w:cs="Times New Roman"/>
          <w:sz w:val="24"/>
          <w:szCs w:val="24"/>
          <w:lang w:val="en-US"/>
        </w:rPr>
        <w:footnoteReference w:id="30"/>
      </w:r>
      <w:r w:rsidR="00C73B48">
        <w:rPr>
          <w:rFonts w:ascii="Times New Roman" w:hAnsi="Times New Roman" w:cs="Times New Roman"/>
          <w:sz w:val="24"/>
          <w:szCs w:val="24"/>
          <w:lang w:val="en-US"/>
        </w:rPr>
        <w:t xml:space="preserve">  </w:t>
      </w:r>
      <w:r w:rsidR="008D6D4C">
        <w:rPr>
          <w:rFonts w:ascii="Times New Roman" w:hAnsi="Times New Roman" w:cs="Times New Roman"/>
          <w:sz w:val="24"/>
          <w:szCs w:val="24"/>
          <w:lang w:val="en-US"/>
        </w:rPr>
        <w:t xml:space="preserve">I attribute 39% of this to the lockdown, as in section 2.3, to yield $164b.  </w:t>
      </w:r>
      <w:r w:rsidR="00C73B48">
        <w:rPr>
          <w:rFonts w:ascii="Times New Roman" w:hAnsi="Times New Roman" w:cs="Times New Roman"/>
          <w:sz w:val="24"/>
          <w:szCs w:val="24"/>
          <w:lang w:val="en-US"/>
        </w:rPr>
        <w:t xml:space="preserve">This estimate is conservative because the two real GDP forecast paths </w:t>
      </w:r>
      <w:r w:rsidR="008D6D4C">
        <w:rPr>
          <w:rFonts w:ascii="Times New Roman" w:hAnsi="Times New Roman" w:cs="Times New Roman"/>
          <w:sz w:val="24"/>
          <w:szCs w:val="24"/>
          <w:lang w:val="en-US"/>
        </w:rPr>
        <w:t xml:space="preserve">here </w:t>
      </w:r>
      <w:r w:rsidR="00C73B48">
        <w:rPr>
          <w:rFonts w:ascii="Times New Roman" w:hAnsi="Times New Roman" w:cs="Times New Roman"/>
          <w:sz w:val="24"/>
          <w:szCs w:val="24"/>
          <w:lang w:val="en-US"/>
        </w:rPr>
        <w:t>have not converged over the period for which the forecast</w:t>
      </w:r>
      <w:r w:rsidR="008D6D4C">
        <w:rPr>
          <w:rFonts w:ascii="Times New Roman" w:hAnsi="Times New Roman" w:cs="Times New Roman"/>
          <w:sz w:val="24"/>
          <w:szCs w:val="24"/>
          <w:lang w:val="en-US"/>
        </w:rPr>
        <w:t xml:space="preserve">s are available (out to </w:t>
      </w:r>
      <w:proofErr w:type="spellStart"/>
      <w:r w:rsidR="008D6D4C">
        <w:rPr>
          <w:rFonts w:ascii="Times New Roman" w:hAnsi="Times New Roman" w:cs="Times New Roman"/>
          <w:sz w:val="24"/>
          <w:szCs w:val="24"/>
          <w:lang w:val="en-US"/>
        </w:rPr>
        <w:t>mid 2022</w:t>
      </w:r>
      <w:proofErr w:type="spellEnd"/>
      <w:r w:rsidR="00C73B48">
        <w:rPr>
          <w:rFonts w:ascii="Times New Roman" w:hAnsi="Times New Roman" w:cs="Times New Roman"/>
          <w:sz w:val="24"/>
          <w:szCs w:val="24"/>
          <w:lang w:val="en-US"/>
        </w:rPr>
        <w:t xml:space="preserve">).   Substitution of these parameter values into equation (7) yields a cost </w:t>
      </w:r>
      <w:r w:rsidR="00D10256">
        <w:rPr>
          <w:rFonts w:ascii="Times New Roman" w:hAnsi="Times New Roman" w:cs="Times New Roman"/>
          <w:sz w:val="24"/>
          <w:szCs w:val="24"/>
          <w:lang w:val="en-US"/>
        </w:rPr>
        <w:t xml:space="preserve">per QALY saved of </w:t>
      </w:r>
    </w:p>
    <w:p w14:paraId="779AF689" w14:textId="77777777" w:rsidR="00237672" w:rsidRDefault="00237672" w:rsidP="00237672">
      <w:pPr>
        <w:spacing w:after="0" w:line="360" w:lineRule="auto"/>
        <w:jc w:val="both"/>
        <w:rPr>
          <w:rFonts w:ascii="Times New Roman" w:hAnsi="Times New Roman" w:cs="Times New Roman"/>
          <w:sz w:val="24"/>
          <w:szCs w:val="24"/>
          <w:lang w:val="en-US"/>
        </w:rPr>
      </w:pPr>
    </w:p>
    <w:p w14:paraId="0EF0D1F8" w14:textId="77777777" w:rsidR="00237672" w:rsidRDefault="00237672" w:rsidP="0023767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$164b-$6.8b-$3.1b</m:t>
              </m:r>
            </m:num>
            <m:den>
              <m:r>
                <w:rPr>
                  <w:rFonts w:ascii="Cambria Math" w:hAnsi="Cambria Math" w:cs="Times New Roman"/>
                  <w:sz w:val="24"/>
                  <w:szCs w:val="24"/>
                  <w:lang w:val="en-US"/>
                </w:rPr>
                <m:t>140,000</m:t>
              </m:r>
            </m:den>
          </m:f>
          <m:r>
            <w:rPr>
              <w:rFonts w:ascii="Cambria Math" w:hAnsi="Cambria Math" w:cs="Times New Roman"/>
              <w:sz w:val="24"/>
              <w:szCs w:val="24"/>
              <w:lang w:val="en-US"/>
            </w:rPr>
            <m:t>=$1.1m</m:t>
          </m:r>
        </m:oMath>
      </m:oMathPara>
    </w:p>
    <w:p w14:paraId="47B3D5A9" w14:textId="77777777" w:rsidR="00237672" w:rsidRDefault="00237672" w:rsidP="008702F9">
      <w:pPr>
        <w:spacing w:after="0" w:line="360" w:lineRule="auto"/>
        <w:jc w:val="both"/>
        <w:rPr>
          <w:rFonts w:ascii="Times New Roman" w:hAnsi="Times New Roman" w:cs="Times New Roman"/>
          <w:sz w:val="24"/>
          <w:szCs w:val="24"/>
          <w:lang w:val="en-US"/>
        </w:rPr>
      </w:pPr>
    </w:p>
    <w:p w14:paraId="59188192" w14:textId="77777777" w:rsidR="00DF762D" w:rsidRDefault="00E21C51"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the </w:t>
      </w:r>
      <w:r w:rsidR="00420292">
        <w:rPr>
          <w:rFonts w:ascii="Times New Roman" w:hAnsi="Times New Roman" w:cs="Times New Roman"/>
          <w:sz w:val="24"/>
          <w:szCs w:val="24"/>
          <w:lang w:val="en-US"/>
        </w:rPr>
        <w:t xml:space="preserve">cost per QALY </w:t>
      </w:r>
      <w:r>
        <w:rPr>
          <w:rFonts w:ascii="Times New Roman" w:hAnsi="Times New Roman" w:cs="Times New Roman"/>
          <w:sz w:val="24"/>
          <w:szCs w:val="24"/>
          <w:lang w:val="en-US"/>
        </w:rPr>
        <w:t xml:space="preserve">saved </w:t>
      </w:r>
      <w:r w:rsidR="00420292">
        <w:rPr>
          <w:rFonts w:ascii="Times New Roman" w:hAnsi="Times New Roman" w:cs="Times New Roman"/>
          <w:sz w:val="24"/>
          <w:szCs w:val="24"/>
          <w:lang w:val="en-US"/>
        </w:rPr>
        <w:t xml:space="preserve">is </w:t>
      </w:r>
      <w:r w:rsidR="008A44F6">
        <w:rPr>
          <w:rFonts w:ascii="Times New Roman" w:hAnsi="Times New Roman" w:cs="Times New Roman"/>
          <w:sz w:val="24"/>
          <w:szCs w:val="24"/>
          <w:lang w:val="en-US"/>
        </w:rPr>
        <w:t>11 times the benchmark value of $100,000</w:t>
      </w:r>
      <w:r w:rsidR="00244ED9">
        <w:rPr>
          <w:rFonts w:ascii="Times New Roman" w:hAnsi="Times New Roman" w:cs="Times New Roman"/>
          <w:sz w:val="24"/>
          <w:szCs w:val="24"/>
          <w:lang w:val="en-US"/>
        </w:rPr>
        <w:t xml:space="preserve">.  </w:t>
      </w:r>
      <w:r w:rsidR="008A44F6">
        <w:rPr>
          <w:rFonts w:ascii="Times New Roman" w:hAnsi="Times New Roman" w:cs="Times New Roman"/>
          <w:sz w:val="24"/>
          <w:szCs w:val="24"/>
          <w:lang w:val="en-US"/>
        </w:rPr>
        <w:t xml:space="preserve">This strongly </w:t>
      </w:r>
      <w:proofErr w:type="spellStart"/>
      <w:r w:rsidR="008A44F6">
        <w:rPr>
          <w:rFonts w:ascii="Times New Roman" w:hAnsi="Times New Roman" w:cs="Times New Roman"/>
          <w:sz w:val="24"/>
          <w:szCs w:val="24"/>
          <w:lang w:val="en-US"/>
        </w:rPr>
        <w:t>favoured</w:t>
      </w:r>
      <w:proofErr w:type="spellEnd"/>
      <w:r w:rsidR="008A44F6">
        <w:rPr>
          <w:rFonts w:ascii="Times New Roman" w:hAnsi="Times New Roman" w:cs="Times New Roman"/>
          <w:sz w:val="24"/>
          <w:szCs w:val="24"/>
          <w:lang w:val="en-US"/>
        </w:rPr>
        <w:t xml:space="preserve"> mitigation in March 2020.  </w:t>
      </w:r>
      <w:r w:rsidR="00DF762D">
        <w:rPr>
          <w:rFonts w:ascii="Times New Roman" w:hAnsi="Times New Roman" w:cs="Times New Roman"/>
          <w:sz w:val="24"/>
          <w:szCs w:val="24"/>
          <w:lang w:val="en-US"/>
        </w:rPr>
        <w:t xml:space="preserve">Allowing for </w:t>
      </w:r>
      <w:r>
        <w:rPr>
          <w:rFonts w:ascii="Times New Roman" w:hAnsi="Times New Roman" w:cs="Times New Roman"/>
          <w:sz w:val="24"/>
          <w:szCs w:val="24"/>
          <w:lang w:val="en-US"/>
        </w:rPr>
        <w:t>the possibility that the lockdown would fail</w:t>
      </w:r>
      <w:r w:rsidR="000B6F09">
        <w:rPr>
          <w:rFonts w:ascii="Times New Roman" w:hAnsi="Times New Roman" w:cs="Times New Roman"/>
          <w:sz w:val="24"/>
          <w:szCs w:val="24"/>
          <w:lang w:val="en-US"/>
        </w:rPr>
        <w:t xml:space="preserve"> (Blakely and Wilson, 2020, ascribed only a 25% probability to this)</w:t>
      </w:r>
      <w:r w:rsidR="00782AD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B628E">
        <w:rPr>
          <w:rFonts w:ascii="Times New Roman" w:hAnsi="Times New Roman" w:cs="Times New Roman"/>
          <w:sz w:val="24"/>
          <w:szCs w:val="24"/>
          <w:lang w:val="en-US"/>
        </w:rPr>
        <w:t>the cost per QALY saved would be even higher</w:t>
      </w:r>
      <w:r w:rsidR="004A43D5">
        <w:rPr>
          <w:rFonts w:ascii="Times New Roman" w:hAnsi="Times New Roman" w:cs="Times New Roman"/>
          <w:sz w:val="24"/>
          <w:szCs w:val="24"/>
          <w:lang w:val="en-US"/>
        </w:rPr>
        <w:t xml:space="preserve"> and therefore mitigation would be even more strongly </w:t>
      </w:r>
      <w:proofErr w:type="spellStart"/>
      <w:r w:rsidR="004A43D5">
        <w:rPr>
          <w:rFonts w:ascii="Times New Roman" w:hAnsi="Times New Roman" w:cs="Times New Roman"/>
          <w:sz w:val="24"/>
          <w:szCs w:val="24"/>
          <w:lang w:val="en-US"/>
        </w:rPr>
        <w:t>favoured</w:t>
      </w:r>
      <w:proofErr w:type="spellEnd"/>
      <w:r w:rsidR="001B628E">
        <w:rPr>
          <w:rFonts w:ascii="Times New Roman" w:hAnsi="Times New Roman" w:cs="Times New Roman"/>
          <w:sz w:val="24"/>
          <w:szCs w:val="24"/>
          <w:lang w:val="en-US"/>
        </w:rPr>
        <w:t xml:space="preserve">.  </w:t>
      </w:r>
    </w:p>
    <w:p w14:paraId="1C2F9B54" w14:textId="77777777" w:rsidR="00DF762D" w:rsidRDefault="00DF762D" w:rsidP="008702F9">
      <w:pPr>
        <w:spacing w:after="0" w:line="360" w:lineRule="auto"/>
        <w:jc w:val="both"/>
        <w:rPr>
          <w:rFonts w:ascii="Times New Roman" w:hAnsi="Times New Roman" w:cs="Times New Roman"/>
          <w:sz w:val="24"/>
          <w:szCs w:val="24"/>
          <w:lang w:val="en-US"/>
        </w:rPr>
      </w:pPr>
    </w:p>
    <w:p w14:paraId="69669E75" w14:textId="77777777" w:rsidR="00EA0FC0" w:rsidRDefault="007726D9"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leaves the question of why the Australian </w:t>
      </w:r>
      <w:r w:rsidR="00DF762D">
        <w:rPr>
          <w:rFonts w:ascii="Times New Roman" w:hAnsi="Times New Roman" w:cs="Times New Roman"/>
          <w:sz w:val="24"/>
          <w:szCs w:val="24"/>
          <w:lang w:val="en-US"/>
        </w:rPr>
        <w:t>government</w:t>
      </w:r>
      <w:r>
        <w:rPr>
          <w:rFonts w:ascii="Times New Roman" w:hAnsi="Times New Roman" w:cs="Times New Roman"/>
          <w:sz w:val="24"/>
          <w:szCs w:val="24"/>
          <w:lang w:val="en-US"/>
        </w:rPr>
        <w:t xml:space="preserve"> chose to lockdown</w:t>
      </w:r>
      <w:r w:rsidR="00D77DB6">
        <w:rPr>
          <w:rFonts w:ascii="Times New Roman" w:hAnsi="Times New Roman" w:cs="Times New Roman"/>
          <w:sz w:val="24"/>
          <w:szCs w:val="24"/>
          <w:lang w:val="en-US"/>
        </w:rPr>
        <w:t xml:space="preserve"> in March 2020</w:t>
      </w:r>
      <w:r>
        <w:rPr>
          <w:rFonts w:ascii="Times New Roman" w:hAnsi="Times New Roman" w:cs="Times New Roman"/>
          <w:sz w:val="24"/>
          <w:szCs w:val="24"/>
          <w:lang w:val="en-US"/>
        </w:rPr>
        <w:t xml:space="preserve">.  A </w:t>
      </w:r>
      <w:r w:rsidR="00DF762D">
        <w:rPr>
          <w:rFonts w:ascii="Times New Roman" w:hAnsi="Times New Roman" w:cs="Times New Roman"/>
          <w:sz w:val="24"/>
          <w:szCs w:val="24"/>
          <w:lang w:val="en-US"/>
        </w:rPr>
        <w:t xml:space="preserve">natural candidate </w:t>
      </w:r>
      <w:r>
        <w:rPr>
          <w:rFonts w:ascii="Times New Roman" w:hAnsi="Times New Roman" w:cs="Times New Roman"/>
          <w:sz w:val="24"/>
          <w:szCs w:val="24"/>
          <w:lang w:val="en-US"/>
        </w:rPr>
        <w:t xml:space="preserve">for explaining this </w:t>
      </w:r>
      <w:r w:rsidR="00DF762D">
        <w:rPr>
          <w:rFonts w:ascii="Times New Roman" w:hAnsi="Times New Roman" w:cs="Times New Roman"/>
          <w:sz w:val="24"/>
          <w:szCs w:val="24"/>
          <w:lang w:val="en-US"/>
        </w:rPr>
        <w:t xml:space="preserve">is that it </w:t>
      </w:r>
      <w:r>
        <w:rPr>
          <w:rFonts w:ascii="Times New Roman" w:hAnsi="Times New Roman" w:cs="Times New Roman"/>
          <w:sz w:val="24"/>
          <w:szCs w:val="24"/>
          <w:lang w:val="en-US"/>
        </w:rPr>
        <w:t xml:space="preserve">was extremely risk averse, i.e., it </w:t>
      </w:r>
      <w:r w:rsidR="00DF762D">
        <w:rPr>
          <w:rFonts w:ascii="Times New Roman" w:hAnsi="Times New Roman" w:cs="Times New Roman"/>
          <w:sz w:val="24"/>
          <w:szCs w:val="24"/>
          <w:lang w:val="en-US"/>
        </w:rPr>
        <w:t>focused upon the worst case death toll</w:t>
      </w:r>
      <w:r w:rsidR="00BE2315">
        <w:rPr>
          <w:rFonts w:ascii="Times New Roman" w:hAnsi="Times New Roman" w:cs="Times New Roman"/>
          <w:sz w:val="24"/>
          <w:szCs w:val="24"/>
          <w:lang w:val="en-US"/>
        </w:rPr>
        <w:t xml:space="preserve"> from mitigation over lockdown</w:t>
      </w:r>
      <w:r w:rsidR="00DF762D">
        <w:rPr>
          <w:rFonts w:ascii="Times New Roman" w:hAnsi="Times New Roman" w:cs="Times New Roman"/>
          <w:sz w:val="24"/>
          <w:szCs w:val="24"/>
          <w:lang w:val="en-US"/>
        </w:rPr>
        <w:t>, of 150,000</w:t>
      </w:r>
      <w:r w:rsidR="00BE2315">
        <w:rPr>
          <w:rFonts w:ascii="Times New Roman" w:hAnsi="Times New Roman" w:cs="Times New Roman"/>
          <w:sz w:val="24"/>
          <w:szCs w:val="24"/>
          <w:lang w:val="en-US"/>
        </w:rPr>
        <w:t xml:space="preserve"> – 5,000, which implies 580</w:t>
      </w:r>
      <w:r w:rsidR="00DF762D">
        <w:rPr>
          <w:rFonts w:ascii="Times New Roman" w:hAnsi="Times New Roman" w:cs="Times New Roman"/>
          <w:sz w:val="24"/>
          <w:szCs w:val="24"/>
          <w:lang w:val="en-US"/>
        </w:rPr>
        <w:t xml:space="preserve">,000 QALYs.  Substituting this into the denominator of the last equation, </w:t>
      </w:r>
      <w:r>
        <w:rPr>
          <w:rFonts w:ascii="Times New Roman" w:hAnsi="Times New Roman" w:cs="Times New Roman"/>
          <w:sz w:val="24"/>
          <w:szCs w:val="24"/>
          <w:lang w:val="en-US"/>
        </w:rPr>
        <w:t xml:space="preserve">and scaling up the medical costs consistent with </w:t>
      </w:r>
      <w:r w:rsidR="00BF3F1C">
        <w:rPr>
          <w:rFonts w:ascii="Times New Roman" w:hAnsi="Times New Roman" w:cs="Times New Roman"/>
          <w:sz w:val="24"/>
          <w:szCs w:val="24"/>
          <w:lang w:val="en-US"/>
        </w:rPr>
        <w:t xml:space="preserve">this </w:t>
      </w:r>
      <w:r w:rsidR="00481B7E">
        <w:rPr>
          <w:rFonts w:ascii="Times New Roman" w:hAnsi="Times New Roman" w:cs="Times New Roman"/>
          <w:sz w:val="24"/>
          <w:szCs w:val="24"/>
          <w:lang w:val="en-US"/>
        </w:rPr>
        <w:t>incremental death toll of 145</w:t>
      </w:r>
      <w:r>
        <w:rPr>
          <w:rFonts w:ascii="Times New Roman" w:hAnsi="Times New Roman" w:cs="Times New Roman"/>
          <w:sz w:val="24"/>
          <w:szCs w:val="24"/>
          <w:lang w:val="en-US"/>
        </w:rPr>
        <w:t>,000 (</w:t>
      </w:r>
      <w:r w:rsidR="00782ADD">
        <w:rPr>
          <w:rFonts w:ascii="Times New Roman" w:hAnsi="Times New Roman" w:cs="Times New Roman"/>
          <w:sz w:val="24"/>
          <w:szCs w:val="24"/>
          <w:lang w:val="en-US"/>
        </w:rPr>
        <w:t xml:space="preserve">from $3.1b </w:t>
      </w:r>
      <w:r w:rsidR="001C73B8">
        <w:rPr>
          <w:rFonts w:ascii="Times New Roman" w:hAnsi="Times New Roman" w:cs="Times New Roman"/>
          <w:sz w:val="24"/>
          <w:szCs w:val="24"/>
          <w:lang w:val="en-US"/>
        </w:rPr>
        <w:t>to $13.0</w:t>
      </w:r>
      <w:r>
        <w:rPr>
          <w:rFonts w:ascii="Times New Roman" w:hAnsi="Times New Roman" w:cs="Times New Roman"/>
          <w:sz w:val="24"/>
          <w:szCs w:val="24"/>
          <w:lang w:val="en-US"/>
        </w:rPr>
        <w:t xml:space="preserve">b), </w:t>
      </w:r>
      <w:r w:rsidR="00DF762D">
        <w:rPr>
          <w:rFonts w:ascii="Times New Roman" w:hAnsi="Times New Roman" w:cs="Times New Roman"/>
          <w:sz w:val="24"/>
          <w:szCs w:val="24"/>
          <w:lang w:val="en-US"/>
        </w:rPr>
        <w:t>the cost per QALY falls to $</w:t>
      </w:r>
      <w:r w:rsidR="001C73B8">
        <w:rPr>
          <w:rFonts w:ascii="Times New Roman" w:hAnsi="Times New Roman" w:cs="Times New Roman"/>
          <w:sz w:val="24"/>
          <w:szCs w:val="24"/>
          <w:lang w:val="en-US"/>
        </w:rPr>
        <w:t>25</w:t>
      </w:r>
      <w:r w:rsidR="00DF762D">
        <w:rPr>
          <w:rFonts w:ascii="Times New Roman" w:hAnsi="Times New Roman" w:cs="Times New Roman"/>
          <w:sz w:val="24"/>
          <w:szCs w:val="24"/>
          <w:lang w:val="en-US"/>
        </w:rPr>
        <w:t xml:space="preserve">0,000.  Even this is well above the </w:t>
      </w:r>
      <w:r w:rsidR="00DF762D">
        <w:rPr>
          <w:rFonts w:ascii="Times New Roman" w:hAnsi="Times New Roman" w:cs="Times New Roman"/>
          <w:sz w:val="24"/>
          <w:szCs w:val="24"/>
          <w:lang w:val="en-US"/>
        </w:rPr>
        <w:lastRenderedPageBreak/>
        <w:t xml:space="preserve">benchmark of $100,000.  </w:t>
      </w:r>
      <w:r w:rsidR="00244ED9">
        <w:rPr>
          <w:rFonts w:ascii="Times New Roman" w:hAnsi="Times New Roman" w:cs="Times New Roman"/>
          <w:sz w:val="24"/>
          <w:szCs w:val="24"/>
          <w:lang w:val="en-US"/>
        </w:rPr>
        <w:t xml:space="preserve">So, </w:t>
      </w:r>
      <w:r w:rsidR="00E570D7">
        <w:rPr>
          <w:rFonts w:ascii="Times New Roman" w:hAnsi="Times New Roman" w:cs="Times New Roman"/>
          <w:sz w:val="24"/>
          <w:szCs w:val="24"/>
          <w:lang w:val="en-US"/>
        </w:rPr>
        <w:t xml:space="preserve">even extreme </w:t>
      </w:r>
      <w:r w:rsidR="00244ED9">
        <w:rPr>
          <w:rFonts w:ascii="Times New Roman" w:hAnsi="Times New Roman" w:cs="Times New Roman"/>
          <w:sz w:val="24"/>
          <w:szCs w:val="24"/>
          <w:lang w:val="en-US"/>
        </w:rPr>
        <w:t xml:space="preserve">risk-aversion does not explain the </w:t>
      </w:r>
      <w:r w:rsidR="00A94D85">
        <w:rPr>
          <w:rFonts w:ascii="Times New Roman" w:hAnsi="Times New Roman" w:cs="Times New Roman"/>
          <w:sz w:val="24"/>
          <w:szCs w:val="24"/>
          <w:lang w:val="en-US"/>
        </w:rPr>
        <w:t xml:space="preserve">government’s </w:t>
      </w:r>
      <w:r w:rsidR="00244ED9">
        <w:rPr>
          <w:rFonts w:ascii="Times New Roman" w:hAnsi="Times New Roman" w:cs="Times New Roman"/>
          <w:sz w:val="24"/>
          <w:szCs w:val="24"/>
          <w:lang w:val="en-US"/>
        </w:rPr>
        <w:t>decision</w:t>
      </w:r>
      <w:r w:rsidR="00EA0FC0">
        <w:rPr>
          <w:rFonts w:ascii="Times New Roman" w:hAnsi="Times New Roman" w:cs="Times New Roman"/>
          <w:sz w:val="24"/>
          <w:szCs w:val="24"/>
          <w:lang w:val="en-US"/>
        </w:rPr>
        <w:t xml:space="preserve"> to lockdown</w:t>
      </w:r>
      <w:r w:rsidR="00244ED9">
        <w:rPr>
          <w:rFonts w:ascii="Times New Roman" w:hAnsi="Times New Roman" w:cs="Times New Roman"/>
          <w:sz w:val="24"/>
          <w:szCs w:val="24"/>
          <w:lang w:val="en-US"/>
        </w:rPr>
        <w:t xml:space="preserve">.  </w:t>
      </w:r>
    </w:p>
    <w:p w14:paraId="20D9F082" w14:textId="77777777" w:rsidR="00EA0FC0" w:rsidRDefault="00EA0FC0" w:rsidP="008702F9">
      <w:pPr>
        <w:spacing w:after="0" w:line="360" w:lineRule="auto"/>
        <w:jc w:val="both"/>
        <w:rPr>
          <w:rFonts w:ascii="Times New Roman" w:hAnsi="Times New Roman" w:cs="Times New Roman"/>
          <w:sz w:val="24"/>
          <w:szCs w:val="24"/>
          <w:lang w:val="en-US"/>
        </w:rPr>
      </w:pPr>
    </w:p>
    <w:p w14:paraId="63EC6452" w14:textId="77777777" w:rsidR="00E570D7" w:rsidRDefault="00E570D7"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complementary possibility is that the Australian government was prepared to pay more than the worst-case scenario just described (at the conventional price of $100,000) to buy </w:t>
      </w:r>
      <w:r w:rsidR="007319FE">
        <w:rPr>
          <w:rFonts w:ascii="Times New Roman" w:hAnsi="Times New Roman" w:cs="Times New Roman"/>
          <w:sz w:val="24"/>
          <w:szCs w:val="24"/>
          <w:lang w:val="en-US"/>
        </w:rPr>
        <w:t>‘</w:t>
      </w:r>
      <w:r w:rsidR="00C64180">
        <w:rPr>
          <w:rFonts w:ascii="Times New Roman" w:hAnsi="Times New Roman" w:cs="Times New Roman"/>
          <w:sz w:val="24"/>
          <w:szCs w:val="24"/>
          <w:lang w:val="en-US"/>
        </w:rPr>
        <w:t xml:space="preserve">peace of mind’ insurance for the </w:t>
      </w:r>
      <w:r w:rsidR="00D80F45">
        <w:rPr>
          <w:rFonts w:ascii="Times New Roman" w:hAnsi="Times New Roman" w:cs="Times New Roman"/>
          <w:sz w:val="24"/>
          <w:szCs w:val="24"/>
          <w:lang w:val="en-US"/>
        </w:rPr>
        <w:t xml:space="preserve">whole </w:t>
      </w:r>
      <w:r w:rsidR="00C64180">
        <w:rPr>
          <w:rFonts w:ascii="Times New Roman" w:hAnsi="Times New Roman" w:cs="Times New Roman"/>
          <w:sz w:val="24"/>
          <w:szCs w:val="24"/>
          <w:lang w:val="en-US"/>
        </w:rPr>
        <w:t>population.</w:t>
      </w:r>
      <w:r w:rsidR="00A730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Assuming that a lockdown would succeed, the additional payment would be </w:t>
      </w:r>
      <w:r w:rsidR="00D80F45" w:rsidRPr="00D80F45">
        <w:rPr>
          <w:rFonts w:ascii="Times New Roman" w:hAnsi="Times New Roman" w:cs="Times New Roman"/>
          <w:i/>
          <w:sz w:val="24"/>
          <w:szCs w:val="24"/>
          <w:lang w:val="en-US"/>
        </w:rPr>
        <w:t>P</w:t>
      </w:r>
      <w:r w:rsidR="00D80F45">
        <w:rPr>
          <w:rFonts w:ascii="Times New Roman" w:hAnsi="Times New Roman" w:cs="Times New Roman"/>
          <w:sz w:val="24"/>
          <w:szCs w:val="24"/>
          <w:lang w:val="en-US"/>
        </w:rPr>
        <w:t xml:space="preserve"> satisfying the following equation</w:t>
      </w:r>
      <w:r>
        <w:rPr>
          <w:rFonts w:ascii="Times New Roman" w:hAnsi="Times New Roman" w:cs="Times New Roman"/>
          <w:sz w:val="24"/>
          <w:szCs w:val="24"/>
          <w:lang w:val="en-US"/>
        </w:rPr>
        <w:t>:</w:t>
      </w:r>
    </w:p>
    <w:p w14:paraId="7ED1875C" w14:textId="77777777" w:rsidR="00E570D7" w:rsidRDefault="00E570D7" w:rsidP="008702F9">
      <w:pPr>
        <w:spacing w:after="0" w:line="360" w:lineRule="auto"/>
        <w:jc w:val="both"/>
        <w:rPr>
          <w:rFonts w:ascii="Times New Roman" w:hAnsi="Times New Roman" w:cs="Times New Roman"/>
          <w:sz w:val="24"/>
          <w:szCs w:val="24"/>
          <w:lang w:val="en-US"/>
        </w:rPr>
      </w:pPr>
    </w:p>
    <w:p w14:paraId="4742D200" w14:textId="77777777" w:rsidR="00E570D7" w:rsidRDefault="00F13AB0" w:rsidP="008702F9">
      <w:pPr>
        <w:spacing w:after="0" w:line="360" w:lineRule="auto"/>
        <w:jc w:val="both"/>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$164b-P-$6.8b-$13b</m:t>
              </m:r>
            </m:num>
            <m:den>
              <m:r>
                <w:rPr>
                  <w:rFonts w:ascii="Cambria Math" w:hAnsi="Cambria Math" w:cs="Times New Roman"/>
                  <w:sz w:val="24"/>
                  <w:szCs w:val="24"/>
                  <w:lang w:val="en-US"/>
                </w:rPr>
                <m:t>580,000</m:t>
              </m:r>
            </m:den>
          </m:f>
          <m:r>
            <w:rPr>
              <w:rFonts w:ascii="Cambria Math" w:hAnsi="Cambria Math" w:cs="Times New Roman"/>
              <w:sz w:val="24"/>
              <w:szCs w:val="24"/>
              <w:lang w:val="en-US"/>
            </w:rPr>
            <m:t>=$100,000</m:t>
          </m:r>
        </m:oMath>
      </m:oMathPara>
    </w:p>
    <w:p w14:paraId="697F3452" w14:textId="77777777" w:rsidR="00D80F45" w:rsidRDefault="00D80F45" w:rsidP="008702F9">
      <w:pPr>
        <w:spacing w:after="0" w:line="360" w:lineRule="auto"/>
        <w:jc w:val="both"/>
        <w:rPr>
          <w:rFonts w:ascii="Times New Roman" w:hAnsi="Times New Roman" w:cs="Times New Roman"/>
          <w:sz w:val="24"/>
          <w:szCs w:val="24"/>
          <w:lang w:val="en-US"/>
        </w:rPr>
      </w:pPr>
    </w:p>
    <w:p w14:paraId="50072453" w14:textId="77777777" w:rsidR="00C64180" w:rsidRDefault="00D80F45" w:rsidP="008702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is </w:t>
      </w:r>
      <w:r w:rsidRPr="00D80F45">
        <w:rPr>
          <w:rFonts w:ascii="Times New Roman" w:hAnsi="Times New Roman" w:cs="Times New Roman"/>
          <w:i/>
          <w:sz w:val="24"/>
          <w:szCs w:val="24"/>
          <w:lang w:val="en-US"/>
        </w:rPr>
        <w:t>P</w:t>
      </w:r>
      <w:r w:rsidR="001C73B8">
        <w:rPr>
          <w:rFonts w:ascii="Times New Roman" w:hAnsi="Times New Roman" w:cs="Times New Roman"/>
          <w:sz w:val="24"/>
          <w:szCs w:val="24"/>
          <w:lang w:val="en-US"/>
        </w:rPr>
        <w:t xml:space="preserve"> = $86</w:t>
      </w:r>
      <w:r>
        <w:rPr>
          <w:rFonts w:ascii="Times New Roman" w:hAnsi="Times New Roman" w:cs="Times New Roman"/>
          <w:sz w:val="24"/>
          <w:szCs w:val="24"/>
          <w:lang w:val="en-US"/>
        </w:rPr>
        <w:t>b</w:t>
      </w:r>
      <w:r w:rsidR="0038181A">
        <w:rPr>
          <w:rFonts w:ascii="Times New Roman" w:hAnsi="Times New Roman" w:cs="Times New Roman"/>
          <w:sz w:val="24"/>
          <w:szCs w:val="24"/>
          <w:lang w:val="en-US"/>
        </w:rPr>
        <w:t>, i.e., the Australian go</w:t>
      </w:r>
      <w:r w:rsidR="00E51587">
        <w:rPr>
          <w:rFonts w:ascii="Times New Roman" w:hAnsi="Times New Roman" w:cs="Times New Roman"/>
          <w:sz w:val="24"/>
          <w:szCs w:val="24"/>
          <w:lang w:val="en-US"/>
        </w:rPr>
        <w:t>vernment was prepared to pay $86</w:t>
      </w:r>
      <w:r w:rsidR="0038181A">
        <w:rPr>
          <w:rFonts w:ascii="Times New Roman" w:hAnsi="Times New Roman" w:cs="Times New Roman"/>
          <w:sz w:val="24"/>
          <w:szCs w:val="24"/>
          <w:lang w:val="en-US"/>
        </w:rPr>
        <w:t xml:space="preserve">b in addition to </w:t>
      </w:r>
      <w:r w:rsidR="00782ADD">
        <w:rPr>
          <w:rFonts w:ascii="Times New Roman" w:hAnsi="Times New Roman" w:cs="Times New Roman"/>
          <w:sz w:val="24"/>
          <w:szCs w:val="24"/>
          <w:lang w:val="en-US"/>
        </w:rPr>
        <w:t xml:space="preserve">the payment consistent with </w:t>
      </w:r>
      <w:r w:rsidR="00983083">
        <w:rPr>
          <w:rFonts w:ascii="Times New Roman" w:hAnsi="Times New Roman" w:cs="Times New Roman"/>
          <w:sz w:val="24"/>
          <w:szCs w:val="24"/>
          <w:lang w:val="en-US"/>
        </w:rPr>
        <w:t xml:space="preserve">applying the </w:t>
      </w:r>
      <w:r w:rsidR="00782ADD">
        <w:rPr>
          <w:rFonts w:ascii="Times New Roman" w:hAnsi="Times New Roman" w:cs="Times New Roman"/>
          <w:sz w:val="24"/>
          <w:szCs w:val="24"/>
          <w:lang w:val="en-US"/>
        </w:rPr>
        <w:t xml:space="preserve">usual </w:t>
      </w:r>
      <w:r w:rsidR="000E4573">
        <w:rPr>
          <w:rFonts w:ascii="Times New Roman" w:hAnsi="Times New Roman" w:cs="Times New Roman"/>
          <w:sz w:val="24"/>
          <w:szCs w:val="24"/>
          <w:lang w:val="en-US"/>
        </w:rPr>
        <w:t xml:space="preserve">QALY </w:t>
      </w:r>
      <w:r w:rsidR="00782ADD">
        <w:rPr>
          <w:rFonts w:ascii="Times New Roman" w:hAnsi="Times New Roman" w:cs="Times New Roman"/>
          <w:sz w:val="24"/>
          <w:szCs w:val="24"/>
          <w:lang w:val="en-US"/>
        </w:rPr>
        <w:t xml:space="preserve">benchmark to the </w:t>
      </w:r>
      <w:r w:rsidR="0038181A">
        <w:rPr>
          <w:rFonts w:ascii="Times New Roman" w:hAnsi="Times New Roman" w:cs="Times New Roman"/>
          <w:sz w:val="24"/>
          <w:szCs w:val="24"/>
          <w:lang w:val="en-US"/>
        </w:rPr>
        <w:t xml:space="preserve">worst case </w:t>
      </w:r>
      <w:r w:rsidR="00511E19">
        <w:rPr>
          <w:rFonts w:ascii="Times New Roman" w:hAnsi="Times New Roman" w:cs="Times New Roman"/>
          <w:sz w:val="24"/>
          <w:szCs w:val="24"/>
          <w:lang w:val="en-US"/>
        </w:rPr>
        <w:t xml:space="preserve">death toll </w:t>
      </w:r>
      <w:r w:rsidR="00782ADD">
        <w:rPr>
          <w:rFonts w:ascii="Times New Roman" w:hAnsi="Times New Roman" w:cs="Times New Roman"/>
          <w:sz w:val="24"/>
          <w:szCs w:val="24"/>
          <w:lang w:val="en-US"/>
        </w:rPr>
        <w:t>scenario under mitigation</w:t>
      </w:r>
      <w:r w:rsidR="000E4573">
        <w:rPr>
          <w:rFonts w:ascii="Times New Roman" w:hAnsi="Times New Roman" w:cs="Times New Roman"/>
          <w:sz w:val="24"/>
          <w:szCs w:val="24"/>
          <w:lang w:val="en-US"/>
        </w:rPr>
        <w:t xml:space="preserve"> coupled with lockdown being successful</w:t>
      </w:r>
      <w:r>
        <w:rPr>
          <w:rFonts w:ascii="Times New Roman" w:hAnsi="Times New Roman" w:cs="Times New Roman"/>
          <w:sz w:val="24"/>
          <w:szCs w:val="24"/>
          <w:lang w:val="en-US"/>
        </w:rPr>
        <w:t xml:space="preserve">.  </w:t>
      </w:r>
      <w:r w:rsidR="0038181A">
        <w:rPr>
          <w:rFonts w:ascii="Times New Roman" w:hAnsi="Times New Roman" w:cs="Times New Roman"/>
          <w:sz w:val="24"/>
          <w:szCs w:val="24"/>
          <w:lang w:val="en-US"/>
        </w:rPr>
        <w:t xml:space="preserve">Doing this is </w:t>
      </w:r>
      <w:r w:rsidR="007319FE">
        <w:rPr>
          <w:rFonts w:ascii="Times New Roman" w:hAnsi="Times New Roman" w:cs="Times New Roman"/>
          <w:sz w:val="24"/>
          <w:szCs w:val="24"/>
          <w:lang w:val="en-US"/>
        </w:rPr>
        <w:t>not consistent with standard methodology in health interventions</w:t>
      </w:r>
      <w:r w:rsidR="006B01B6">
        <w:rPr>
          <w:rFonts w:ascii="Times New Roman" w:hAnsi="Times New Roman" w:cs="Times New Roman"/>
          <w:sz w:val="24"/>
          <w:szCs w:val="24"/>
          <w:lang w:val="en-US"/>
        </w:rPr>
        <w:t>.</w:t>
      </w:r>
      <w:r w:rsidR="00D77DB6">
        <w:rPr>
          <w:rFonts w:ascii="Times New Roman" w:hAnsi="Times New Roman" w:cs="Times New Roman"/>
          <w:sz w:val="24"/>
          <w:szCs w:val="24"/>
          <w:lang w:val="en-US"/>
        </w:rPr>
        <w:t xml:space="preserve">  </w:t>
      </w:r>
    </w:p>
    <w:p w14:paraId="3D096BA1" w14:textId="77777777" w:rsidR="008702F9" w:rsidRDefault="008702F9" w:rsidP="000B7E7F">
      <w:pPr>
        <w:spacing w:after="0" w:line="360" w:lineRule="auto"/>
        <w:jc w:val="both"/>
        <w:rPr>
          <w:rFonts w:ascii="Times New Roman" w:hAnsi="Times New Roman" w:cs="Times New Roman"/>
          <w:sz w:val="24"/>
          <w:szCs w:val="24"/>
          <w:lang w:val="en-US"/>
        </w:rPr>
      </w:pPr>
    </w:p>
    <w:p w14:paraId="2D72D369" w14:textId="77777777" w:rsidR="0038181A" w:rsidRPr="0038181A" w:rsidRDefault="0038181A" w:rsidP="00060568">
      <w:p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060568">
        <w:rPr>
          <w:rFonts w:ascii="Times New Roman" w:hAnsi="Times New Roman" w:cs="Times New Roman"/>
          <w:b/>
          <w:sz w:val="24"/>
          <w:szCs w:val="24"/>
          <w:lang w:val="en-US"/>
        </w:rPr>
        <w:tab/>
      </w:r>
      <w:r>
        <w:rPr>
          <w:rFonts w:ascii="Times New Roman" w:hAnsi="Times New Roman" w:cs="Times New Roman"/>
          <w:b/>
          <w:sz w:val="24"/>
          <w:szCs w:val="24"/>
          <w:lang w:val="en-US"/>
        </w:rPr>
        <w:t>Comparison with Other Australian Studies</w:t>
      </w:r>
    </w:p>
    <w:p w14:paraId="29252768" w14:textId="77777777" w:rsidR="0038181A" w:rsidRDefault="0038181A" w:rsidP="000B7E7F">
      <w:pPr>
        <w:spacing w:after="0" w:line="360" w:lineRule="auto"/>
        <w:jc w:val="both"/>
        <w:rPr>
          <w:rFonts w:ascii="Times New Roman" w:hAnsi="Times New Roman" w:cs="Times New Roman"/>
          <w:sz w:val="24"/>
          <w:szCs w:val="24"/>
          <w:lang w:val="en-US"/>
        </w:rPr>
      </w:pPr>
    </w:p>
    <w:p w14:paraId="11658678" w14:textId="77777777" w:rsidR="000E7F28" w:rsidRDefault="00D264E8"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000E7F28">
        <w:rPr>
          <w:rFonts w:ascii="Times New Roman" w:hAnsi="Times New Roman" w:cs="Times New Roman"/>
          <w:sz w:val="24"/>
          <w:szCs w:val="24"/>
          <w:lang w:val="en-US"/>
        </w:rPr>
        <w:t xml:space="preserve"> </w:t>
      </w:r>
      <w:r w:rsidR="00964EA6">
        <w:rPr>
          <w:rFonts w:ascii="Times New Roman" w:hAnsi="Times New Roman" w:cs="Times New Roman"/>
          <w:sz w:val="24"/>
          <w:szCs w:val="24"/>
          <w:lang w:val="en-US"/>
        </w:rPr>
        <w:t xml:space="preserve">below </w:t>
      </w:r>
      <w:r w:rsidR="000E7F28">
        <w:rPr>
          <w:rFonts w:ascii="Times New Roman" w:hAnsi="Times New Roman" w:cs="Times New Roman"/>
          <w:sz w:val="24"/>
          <w:szCs w:val="24"/>
          <w:lang w:val="en-US"/>
        </w:rPr>
        <w:t xml:space="preserve">compares the analysis </w:t>
      </w:r>
      <w:r w:rsidR="00964EA6">
        <w:rPr>
          <w:rFonts w:ascii="Times New Roman" w:hAnsi="Times New Roman" w:cs="Times New Roman"/>
          <w:sz w:val="24"/>
          <w:szCs w:val="24"/>
          <w:lang w:val="en-US"/>
        </w:rPr>
        <w:t xml:space="preserve">conducted here </w:t>
      </w:r>
      <w:r w:rsidR="000E7F28">
        <w:rPr>
          <w:rFonts w:ascii="Times New Roman" w:hAnsi="Times New Roman" w:cs="Times New Roman"/>
          <w:sz w:val="24"/>
          <w:szCs w:val="24"/>
          <w:lang w:val="en-US"/>
        </w:rPr>
        <w:t xml:space="preserve">with three other Australian studies that </w:t>
      </w:r>
      <w:r w:rsidR="00197C01">
        <w:rPr>
          <w:rFonts w:ascii="Times New Roman" w:hAnsi="Times New Roman" w:cs="Times New Roman"/>
          <w:sz w:val="24"/>
          <w:szCs w:val="24"/>
          <w:lang w:val="en-US"/>
        </w:rPr>
        <w:t xml:space="preserve">have </w:t>
      </w:r>
      <w:r w:rsidR="000E7F28">
        <w:rPr>
          <w:rFonts w:ascii="Times New Roman" w:hAnsi="Times New Roman" w:cs="Times New Roman"/>
          <w:sz w:val="24"/>
          <w:szCs w:val="24"/>
          <w:lang w:val="en-US"/>
        </w:rPr>
        <w:t>estimated the additional death toll from mitigation over lockdowns</w:t>
      </w:r>
      <w:r w:rsidR="00C30DCF">
        <w:rPr>
          <w:rFonts w:ascii="Times New Roman" w:hAnsi="Times New Roman" w:cs="Times New Roman"/>
          <w:sz w:val="24"/>
          <w:szCs w:val="24"/>
          <w:lang w:val="en-US"/>
        </w:rPr>
        <w:t xml:space="preserve">, the value </w:t>
      </w:r>
      <w:r w:rsidR="00197C01">
        <w:rPr>
          <w:rFonts w:ascii="Times New Roman" w:hAnsi="Times New Roman" w:cs="Times New Roman"/>
          <w:sz w:val="24"/>
          <w:szCs w:val="24"/>
          <w:lang w:val="en-US"/>
        </w:rPr>
        <w:t>per life</w:t>
      </w:r>
      <w:r w:rsidR="00C30DCF">
        <w:rPr>
          <w:rFonts w:ascii="Times New Roman" w:hAnsi="Times New Roman" w:cs="Times New Roman"/>
          <w:sz w:val="24"/>
          <w:szCs w:val="24"/>
          <w:lang w:val="en-US"/>
        </w:rPr>
        <w:t>,</w:t>
      </w:r>
      <w:r w:rsidR="000E7F28">
        <w:rPr>
          <w:rFonts w:ascii="Times New Roman" w:hAnsi="Times New Roman" w:cs="Times New Roman"/>
          <w:sz w:val="24"/>
          <w:szCs w:val="24"/>
          <w:lang w:val="en-US"/>
        </w:rPr>
        <w:t xml:space="preserve"> and the additional GDP losses from lockdowns rather than mitigation.  </w:t>
      </w:r>
      <w:r w:rsidR="00197C01">
        <w:rPr>
          <w:rFonts w:ascii="Times New Roman" w:hAnsi="Times New Roman" w:cs="Times New Roman"/>
          <w:sz w:val="24"/>
          <w:szCs w:val="24"/>
          <w:lang w:val="en-US"/>
        </w:rPr>
        <w:t xml:space="preserve">I focus upon the </w:t>
      </w:r>
      <w:r w:rsidR="000E7F28">
        <w:rPr>
          <w:rFonts w:ascii="Times New Roman" w:hAnsi="Times New Roman" w:cs="Times New Roman"/>
          <w:sz w:val="24"/>
          <w:szCs w:val="24"/>
          <w:lang w:val="en-US"/>
        </w:rPr>
        <w:t>crucial issues</w:t>
      </w:r>
      <w:r w:rsidR="00197C01">
        <w:rPr>
          <w:rFonts w:ascii="Times New Roman" w:hAnsi="Times New Roman" w:cs="Times New Roman"/>
          <w:sz w:val="24"/>
          <w:szCs w:val="24"/>
          <w:lang w:val="en-US"/>
        </w:rPr>
        <w:t xml:space="preserve"> by reporting only </w:t>
      </w:r>
      <w:r w:rsidR="000E7F28">
        <w:rPr>
          <w:rFonts w:ascii="Times New Roman" w:hAnsi="Times New Roman" w:cs="Times New Roman"/>
          <w:sz w:val="24"/>
          <w:szCs w:val="24"/>
          <w:lang w:val="en-US"/>
        </w:rPr>
        <w:t>the additional deaths expected</w:t>
      </w:r>
      <w:r w:rsidR="003D200B">
        <w:rPr>
          <w:rFonts w:ascii="Times New Roman" w:hAnsi="Times New Roman" w:cs="Times New Roman"/>
          <w:sz w:val="24"/>
          <w:szCs w:val="24"/>
          <w:lang w:val="en-US"/>
        </w:rPr>
        <w:t xml:space="preserve">, </w:t>
      </w:r>
      <w:r w:rsidR="000E7F28">
        <w:rPr>
          <w:rFonts w:ascii="Times New Roman" w:hAnsi="Times New Roman" w:cs="Times New Roman"/>
          <w:sz w:val="24"/>
          <w:szCs w:val="24"/>
          <w:lang w:val="en-US"/>
        </w:rPr>
        <w:t xml:space="preserve">the </w:t>
      </w:r>
      <w:r w:rsidR="00D74D38">
        <w:rPr>
          <w:rFonts w:ascii="Times New Roman" w:hAnsi="Times New Roman" w:cs="Times New Roman"/>
          <w:sz w:val="24"/>
          <w:szCs w:val="24"/>
          <w:lang w:val="en-US"/>
        </w:rPr>
        <w:t>va</w:t>
      </w:r>
      <w:r w:rsidR="00E446E4">
        <w:rPr>
          <w:rFonts w:ascii="Times New Roman" w:hAnsi="Times New Roman" w:cs="Times New Roman"/>
          <w:sz w:val="24"/>
          <w:szCs w:val="24"/>
          <w:lang w:val="en-US"/>
        </w:rPr>
        <w:t>lue per life saved</w:t>
      </w:r>
      <w:r w:rsidR="0073438F">
        <w:rPr>
          <w:rFonts w:ascii="Times New Roman" w:hAnsi="Times New Roman" w:cs="Times New Roman"/>
          <w:sz w:val="24"/>
          <w:szCs w:val="24"/>
          <w:lang w:val="en-US"/>
        </w:rPr>
        <w:t xml:space="preserve"> (usually the product of value per QALY</w:t>
      </w:r>
      <w:r w:rsidR="00E446E4">
        <w:rPr>
          <w:rFonts w:ascii="Times New Roman" w:hAnsi="Times New Roman" w:cs="Times New Roman"/>
          <w:sz w:val="24"/>
          <w:szCs w:val="24"/>
          <w:lang w:val="en-US"/>
        </w:rPr>
        <w:t>,</w:t>
      </w:r>
      <w:r w:rsidR="00D74D38">
        <w:rPr>
          <w:rFonts w:ascii="Times New Roman" w:hAnsi="Times New Roman" w:cs="Times New Roman"/>
          <w:sz w:val="24"/>
          <w:szCs w:val="24"/>
          <w:lang w:val="en-US"/>
        </w:rPr>
        <w:t xml:space="preserve"> </w:t>
      </w:r>
      <w:r w:rsidR="0073438F">
        <w:rPr>
          <w:rFonts w:ascii="Times New Roman" w:hAnsi="Times New Roman" w:cs="Times New Roman"/>
          <w:sz w:val="24"/>
          <w:szCs w:val="24"/>
          <w:lang w:val="en-US"/>
        </w:rPr>
        <w:t xml:space="preserve">the average residual life expectancy of the victims and a discount for imperfect health of these victims sans covid-19), </w:t>
      </w:r>
      <w:r w:rsidR="00E446E4">
        <w:rPr>
          <w:rFonts w:ascii="Times New Roman" w:hAnsi="Times New Roman" w:cs="Times New Roman"/>
          <w:sz w:val="24"/>
          <w:szCs w:val="24"/>
          <w:lang w:val="en-US"/>
        </w:rPr>
        <w:t xml:space="preserve">the product of these two effects, </w:t>
      </w:r>
      <w:r w:rsidR="00D74D38">
        <w:rPr>
          <w:rFonts w:ascii="Times New Roman" w:hAnsi="Times New Roman" w:cs="Times New Roman"/>
          <w:sz w:val="24"/>
          <w:szCs w:val="24"/>
          <w:lang w:val="en-US"/>
        </w:rPr>
        <w:t xml:space="preserve">and the </w:t>
      </w:r>
      <w:r w:rsidR="000E7F28">
        <w:rPr>
          <w:rFonts w:ascii="Times New Roman" w:hAnsi="Times New Roman" w:cs="Times New Roman"/>
          <w:sz w:val="24"/>
          <w:szCs w:val="24"/>
          <w:lang w:val="en-US"/>
        </w:rPr>
        <w:t>additional GDP</w:t>
      </w:r>
      <w:r w:rsidR="00D74D38">
        <w:rPr>
          <w:rFonts w:ascii="Times New Roman" w:hAnsi="Times New Roman" w:cs="Times New Roman"/>
          <w:sz w:val="24"/>
          <w:szCs w:val="24"/>
          <w:lang w:val="en-US"/>
        </w:rPr>
        <w:t xml:space="preserve"> losses expected</w:t>
      </w:r>
      <w:r w:rsidR="0073438F">
        <w:rPr>
          <w:rFonts w:ascii="Times New Roman" w:hAnsi="Times New Roman" w:cs="Times New Roman"/>
          <w:sz w:val="24"/>
          <w:szCs w:val="24"/>
          <w:lang w:val="en-US"/>
        </w:rPr>
        <w:t xml:space="preserve"> (usually the product of curren</w:t>
      </w:r>
      <w:r w:rsidR="00946EF9">
        <w:rPr>
          <w:rFonts w:ascii="Times New Roman" w:hAnsi="Times New Roman" w:cs="Times New Roman"/>
          <w:sz w:val="24"/>
          <w:szCs w:val="24"/>
          <w:lang w:val="en-US"/>
        </w:rPr>
        <w:t>t annual GDP, the pandemic losses</w:t>
      </w:r>
      <w:r w:rsidR="0073438F">
        <w:rPr>
          <w:rFonts w:ascii="Times New Roman" w:hAnsi="Times New Roman" w:cs="Times New Roman"/>
          <w:sz w:val="24"/>
          <w:szCs w:val="24"/>
          <w:lang w:val="en-US"/>
        </w:rPr>
        <w:t xml:space="preserve"> </w:t>
      </w:r>
      <w:r w:rsidR="00946EF9">
        <w:rPr>
          <w:rFonts w:ascii="Times New Roman" w:hAnsi="Times New Roman" w:cs="Times New Roman"/>
          <w:sz w:val="24"/>
          <w:szCs w:val="24"/>
          <w:lang w:val="en-US"/>
        </w:rPr>
        <w:t xml:space="preserve">as a </w:t>
      </w:r>
      <w:r w:rsidR="0073438F">
        <w:rPr>
          <w:rFonts w:ascii="Times New Roman" w:hAnsi="Times New Roman" w:cs="Times New Roman"/>
          <w:sz w:val="24"/>
          <w:szCs w:val="24"/>
          <w:lang w:val="en-US"/>
        </w:rPr>
        <w:t>proportion</w:t>
      </w:r>
      <w:r w:rsidR="00946EF9">
        <w:rPr>
          <w:rFonts w:ascii="Times New Roman" w:hAnsi="Times New Roman" w:cs="Times New Roman"/>
          <w:sz w:val="24"/>
          <w:szCs w:val="24"/>
          <w:lang w:val="en-US"/>
        </w:rPr>
        <w:t xml:space="preserve"> of this</w:t>
      </w:r>
      <w:r w:rsidR="0073438F">
        <w:rPr>
          <w:rFonts w:ascii="Times New Roman" w:hAnsi="Times New Roman" w:cs="Times New Roman"/>
          <w:sz w:val="24"/>
          <w:szCs w:val="24"/>
          <w:lang w:val="en-US"/>
        </w:rPr>
        <w:t xml:space="preserve">, and the </w:t>
      </w:r>
      <w:r w:rsidR="00C81576">
        <w:rPr>
          <w:rFonts w:ascii="Times New Roman" w:hAnsi="Times New Roman" w:cs="Times New Roman"/>
          <w:sz w:val="24"/>
          <w:szCs w:val="24"/>
          <w:lang w:val="en-US"/>
        </w:rPr>
        <w:t xml:space="preserve">share of this </w:t>
      </w:r>
      <w:r w:rsidR="0073438F">
        <w:rPr>
          <w:rFonts w:ascii="Times New Roman" w:hAnsi="Times New Roman" w:cs="Times New Roman"/>
          <w:sz w:val="24"/>
          <w:szCs w:val="24"/>
          <w:lang w:val="en-US"/>
        </w:rPr>
        <w:t>due to the lockdowns)</w:t>
      </w:r>
      <w:r w:rsidR="000E7F28">
        <w:rPr>
          <w:rFonts w:ascii="Times New Roman" w:hAnsi="Times New Roman" w:cs="Times New Roman"/>
          <w:sz w:val="24"/>
          <w:szCs w:val="24"/>
          <w:lang w:val="en-US"/>
        </w:rPr>
        <w:t>.</w:t>
      </w:r>
      <w:r w:rsidR="008A2928">
        <w:rPr>
          <w:rFonts w:ascii="Times New Roman" w:hAnsi="Times New Roman" w:cs="Times New Roman"/>
          <w:sz w:val="24"/>
          <w:szCs w:val="24"/>
          <w:lang w:val="en-US"/>
        </w:rPr>
        <w:t xml:space="preserve">  The product of the first two effects </w:t>
      </w:r>
      <w:r w:rsidR="00C81576">
        <w:rPr>
          <w:rFonts w:ascii="Times New Roman" w:hAnsi="Times New Roman" w:cs="Times New Roman"/>
          <w:sz w:val="24"/>
          <w:szCs w:val="24"/>
          <w:lang w:val="en-US"/>
        </w:rPr>
        <w:t xml:space="preserve">(additional deaths and value per life) </w:t>
      </w:r>
      <w:r w:rsidR="00197C01">
        <w:rPr>
          <w:rFonts w:ascii="Times New Roman" w:hAnsi="Times New Roman" w:cs="Times New Roman"/>
          <w:sz w:val="24"/>
          <w:szCs w:val="24"/>
          <w:lang w:val="en-US"/>
        </w:rPr>
        <w:t xml:space="preserve">is the value of the extra lives saved by lockdown, which can be offset against the extra </w:t>
      </w:r>
      <w:r w:rsidR="008A2928">
        <w:rPr>
          <w:rFonts w:ascii="Times New Roman" w:hAnsi="Times New Roman" w:cs="Times New Roman"/>
          <w:sz w:val="24"/>
          <w:szCs w:val="24"/>
          <w:lang w:val="en-US"/>
        </w:rPr>
        <w:t>GDP losses, to yield the net benefit or loss from lockdowns.</w:t>
      </w:r>
    </w:p>
    <w:p w14:paraId="7EE45A38" w14:textId="77777777" w:rsidR="00964EA6" w:rsidRDefault="00964EA6" w:rsidP="000B7E7F">
      <w:pPr>
        <w:spacing w:after="0" w:line="360" w:lineRule="auto"/>
        <w:jc w:val="both"/>
        <w:rPr>
          <w:rFonts w:ascii="Times New Roman" w:hAnsi="Times New Roman" w:cs="Times New Roman"/>
          <w:sz w:val="24"/>
          <w:szCs w:val="24"/>
          <w:lang w:val="en-US"/>
        </w:rPr>
      </w:pPr>
    </w:p>
    <w:p w14:paraId="19661221" w14:textId="77777777" w:rsidR="00C81576" w:rsidRDefault="00C81576" w:rsidP="00C81576">
      <w:pPr>
        <w:tabs>
          <w:tab w:val="left" w:pos="2268"/>
          <w:tab w:val="left" w:pos="4536"/>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significant differences across the studies are in the Extra Deaths or equivalent (highest to lowest ratio of 26), followed by the Value per Life (highest to lowest ratio of 12), and finally the Extra GDP losses (highest to lowest ratio of 2.7).  The first two studies have the lowest values on both of these phenomena, and accordingly strongly favour mitigation </w:t>
      </w:r>
      <w:r>
        <w:rPr>
          <w:rFonts w:ascii="Times New Roman" w:hAnsi="Times New Roman" w:cs="Times New Roman"/>
          <w:sz w:val="24"/>
          <w:szCs w:val="24"/>
          <w:lang w:val="en-US"/>
        </w:rPr>
        <w:lastRenderedPageBreak/>
        <w:t>(with benefits at least 12 times costs), whilst the last two studies are the reverse and strongly favour lockdowns (with benefits at least three times costs).  The most important issue then is the estimate of the extra deaths under a mitigation policy, with the first two studies drawing upon actual death rates from foreign countries whilst the latter two studies use predictions from epidemiol</w:t>
      </w:r>
      <w:r w:rsidR="001342BB">
        <w:rPr>
          <w:rFonts w:ascii="Times New Roman" w:hAnsi="Times New Roman" w:cs="Times New Roman"/>
          <w:sz w:val="24"/>
          <w:szCs w:val="24"/>
          <w:lang w:val="en-US"/>
        </w:rPr>
        <w:t>ogical models.</w:t>
      </w:r>
    </w:p>
    <w:p w14:paraId="7BD23228" w14:textId="77777777" w:rsidR="00C81576" w:rsidRDefault="00C81576" w:rsidP="000B7E7F">
      <w:pPr>
        <w:spacing w:after="0" w:line="360" w:lineRule="auto"/>
        <w:jc w:val="both"/>
        <w:rPr>
          <w:rFonts w:ascii="Times New Roman" w:hAnsi="Times New Roman" w:cs="Times New Roman"/>
          <w:sz w:val="24"/>
          <w:szCs w:val="24"/>
          <w:lang w:val="en-US"/>
        </w:rPr>
      </w:pPr>
    </w:p>
    <w:p w14:paraId="49DB353F" w14:textId="77777777" w:rsidR="0036366F" w:rsidRDefault="00D264E8" w:rsidP="00DE5C5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5</w:t>
      </w:r>
      <w:r w:rsidR="0036366F">
        <w:rPr>
          <w:rFonts w:ascii="Times New Roman" w:hAnsi="Times New Roman" w:cs="Times New Roman"/>
          <w:sz w:val="24"/>
          <w:szCs w:val="24"/>
          <w:lang w:val="en-US"/>
        </w:rPr>
        <w:t>: Comparison of Studies</w:t>
      </w:r>
    </w:p>
    <w:p w14:paraId="79969085" w14:textId="77777777" w:rsidR="00BB059A" w:rsidRDefault="00BB059A" w:rsidP="00BB059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203327F8" w14:textId="77777777" w:rsidR="000E7F28" w:rsidRDefault="00BB059A" w:rsidP="008569C0">
      <w:pPr>
        <w:tabs>
          <w:tab w:val="left" w:pos="1560"/>
          <w:tab w:val="left" w:pos="3261"/>
          <w:tab w:val="left" w:pos="5529"/>
          <w:tab w:val="left" w:pos="680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Pr>
          <w:rFonts w:ascii="Times New Roman" w:hAnsi="Times New Roman" w:cs="Times New Roman"/>
          <w:sz w:val="24"/>
          <w:szCs w:val="24"/>
          <w:lang w:val="en-US"/>
        </w:rPr>
        <w:tab/>
        <w:t>Extra Deaths</w:t>
      </w:r>
      <w:r>
        <w:rPr>
          <w:rFonts w:ascii="Times New Roman" w:hAnsi="Times New Roman" w:cs="Times New Roman"/>
          <w:sz w:val="24"/>
          <w:szCs w:val="24"/>
          <w:lang w:val="en-US"/>
        </w:rPr>
        <w:tab/>
      </w:r>
      <w:r w:rsidR="00026028">
        <w:rPr>
          <w:rFonts w:ascii="Times New Roman" w:hAnsi="Times New Roman" w:cs="Times New Roman"/>
          <w:sz w:val="24"/>
          <w:szCs w:val="24"/>
          <w:lang w:val="en-US"/>
        </w:rPr>
        <w:t>V</w:t>
      </w:r>
      <w:r w:rsidR="00197C01">
        <w:rPr>
          <w:rFonts w:ascii="Times New Roman" w:hAnsi="Times New Roman" w:cs="Times New Roman"/>
          <w:sz w:val="24"/>
          <w:szCs w:val="24"/>
          <w:lang w:val="en-US"/>
        </w:rPr>
        <w:t>alue per</w:t>
      </w:r>
      <w:r w:rsidR="00026028">
        <w:rPr>
          <w:rFonts w:ascii="Times New Roman" w:hAnsi="Times New Roman" w:cs="Times New Roman"/>
          <w:sz w:val="24"/>
          <w:szCs w:val="24"/>
          <w:lang w:val="en-US"/>
        </w:rPr>
        <w:t xml:space="preserve"> Life</w:t>
      </w:r>
      <w:r>
        <w:rPr>
          <w:rFonts w:ascii="Times New Roman" w:hAnsi="Times New Roman" w:cs="Times New Roman"/>
          <w:sz w:val="24"/>
          <w:szCs w:val="24"/>
          <w:lang w:val="en-US"/>
        </w:rPr>
        <w:tab/>
      </w:r>
      <w:r w:rsidR="00026028">
        <w:rPr>
          <w:rFonts w:ascii="Times New Roman" w:hAnsi="Times New Roman" w:cs="Times New Roman"/>
          <w:sz w:val="24"/>
          <w:szCs w:val="24"/>
          <w:lang w:val="en-US"/>
        </w:rPr>
        <w:t>Product</w:t>
      </w:r>
      <w:r w:rsidR="00026028">
        <w:rPr>
          <w:rFonts w:ascii="Times New Roman" w:hAnsi="Times New Roman" w:cs="Times New Roman"/>
          <w:sz w:val="24"/>
          <w:szCs w:val="24"/>
          <w:lang w:val="en-US"/>
        </w:rPr>
        <w:tab/>
        <w:t>Extra GDP Losses</w:t>
      </w:r>
    </w:p>
    <w:p w14:paraId="65910D10" w14:textId="77777777" w:rsidR="00BB059A" w:rsidRDefault="00BB059A" w:rsidP="00BB059A">
      <w:pPr>
        <w:tabs>
          <w:tab w:val="left" w:pos="2268"/>
          <w:tab w:val="left" w:pos="4536"/>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08AF12F4" w14:textId="77777777" w:rsidR="00BB059A" w:rsidRDefault="00BB059A" w:rsidP="00A01FB1">
      <w:pPr>
        <w:tabs>
          <w:tab w:val="left" w:pos="1560"/>
          <w:tab w:val="left" w:pos="3261"/>
          <w:tab w:val="left" w:pos="5670"/>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Current Study</w:t>
      </w:r>
      <w:r>
        <w:rPr>
          <w:rFonts w:ascii="Times New Roman" w:hAnsi="Times New Roman" w:cs="Times New Roman"/>
          <w:sz w:val="24"/>
          <w:szCs w:val="24"/>
          <w:lang w:val="en-US"/>
        </w:rPr>
        <w:tab/>
        <w:t>17,000</w:t>
      </w:r>
      <w:r w:rsidR="008311DA">
        <w:rPr>
          <w:rFonts w:ascii="Times New Roman" w:hAnsi="Times New Roman" w:cs="Times New Roman"/>
          <w:sz w:val="24"/>
          <w:szCs w:val="24"/>
          <w:lang w:val="en-US"/>
        </w:rPr>
        <w:t>*</w:t>
      </w:r>
      <w:r w:rsidR="0098468B">
        <w:rPr>
          <w:rFonts w:ascii="Times New Roman" w:hAnsi="Times New Roman" w:cs="Times New Roman"/>
          <w:sz w:val="24"/>
          <w:szCs w:val="24"/>
          <w:lang w:val="en-US"/>
        </w:rPr>
        <w:t>1.5</w:t>
      </w:r>
      <w:r>
        <w:rPr>
          <w:rFonts w:ascii="Times New Roman" w:hAnsi="Times New Roman" w:cs="Times New Roman"/>
          <w:sz w:val="24"/>
          <w:szCs w:val="24"/>
          <w:lang w:val="en-US"/>
        </w:rPr>
        <w:tab/>
      </w:r>
      <w:r w:rsidR="00026028">
        <w:rPr>
          <w:rFonts w:ascii="Times New Roman" w:hAnsi="Times New Roman" w:cs="Times New Roman"/>
          <w:sz w:val="24"/>
          <w:szCs w:val="24"/>
          <w:lang w:val="en-US"/>
        </w:rPr>
        <w:t>$0.1m*5*0.8 = $0.4m</w:t>
      </w:r>
      <w:r w:rsidR="00171920">
        <w:rPr>
          <w:rFonts w:ascii="Times New Roman" w:hAnsi="Times New Roman" w:cs="Times New Roman"/>
          <w:sz w:val="24"/>
          <w:szCs w:val="24"/>
          <w:lang w:val="en-US"/>
        </w:rPr>
        <w:tab/>
        <w:t>$</w:t>
      </w:r>
      <w:r w:rsidR="00D264E8">
        <w:rPr>
          <w:rFonts w:ascii="Times New Roman" w:hAnsi="Times New Roman" w:cs="Times New Roman"/>
          <w:sz w:val="24"/>
          <w:szCs w:val="24"/>
          <w:lang w:val="en-US"/>
        </w:rPr>
        <w:t>10</w:t>
      </w:r>
      <w:r w:rsidR="00171920">
        <w:rPr>
          <w:rFonts w:ascii="Times New Roman" w:hAnsi="Times New Roman" w:cs="Times New Roman"/>
          <w:sz w:val="24"/>
          <w:szCs w:val="24"/>
          <w:lang w:val="en-US"/>
        </w:rPr>
        <w:t>b</w:t>
      </w:r>
      <w:r>
        <w:rPr>
          <w:rFonts w:ascii="Times New Roman" w:hAnsi="Times New Roman" w:cs="Times New Roman"/>
          <w:sz w:val="24"/>
          <w:szCs w:val="24"/>
          <w:lang w:val="en-US"/>
        </w:rPr>
        <w:tab/>
      </w:r>
      <w:r w:rsidR="00026028">
        <w:rPr>
          <w:rFonts w:ascii="Times New Roman" w:hAnsi="Times New Roman" w:cs="Times New Roman"/>
          <w:sz w:val="24"/>
          <w:szCs w:val="24"/>
          <w:lang w:val="en-US"/>
        </w:rPr>
        <w:t>$2t*0.21*0.39 = $160b</w:t>
      </w:r>
    </w:p>
    <w:p w14:paraId="3F76E2F2" w14:textId="77777777" w:rsidR="00BB059A" w:rsidRDefault="00BB059A" w:rsidP="00A01FB1">
      <w:pPr>
        <w:tabs>
          <w:tab w:val="left" w:pos="1560"/>
          <w:tab w:val="left" w:pos="3261"/>
          <w:tab w:val="left" w:pos="5670"/>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026028">
        <w:rPr>
          <w:rFonts w:ascii="Times New Roman" w:hAnsi="Times New Roman" w:cs="Times New Roman"/>
          <w:sz w:val="24"/>
          <w:szCs w:val="24"/>
          <w:lang w:val="en-US"/>
        </w:rPr>
        <w:t>oster</w:t>
      </w:r>
      <w:r w:rsidR="00026028">
        <w:rPr>
          <w:rFonts w:ascii="Times New Roman" w:hAnsi="Times New Roman" w:cs="Times New Roman"/>
          <w:sz w:val="24"/>
          <w:szCs w:val="24"/>
          <w:lang w:val="en-US"/>
        </w:rPr>
        <w:tab/>
        <w:t>10,000</w:t>
      </w:r>
      <w:r w:rsidR="00026028">
        <w:rPr>
          <w:rFonts w:ascii="Times New Roman" w:hAnsi="Times New Roman" w:cs="Times New Roman"/>
          <w:sz w:val="24"/>
          <w:szCs w:val="24"/>
          <w:lang w:val="en-US"/>
        </w:rPr>
        <w:tab/>
        <w:t>$0.1m*5 = $0.5m</w:t>
      </w:r>
      <w:r w:rsidR="00171920">
        <w:rPr>
          <w:rFonts w:ascii="Times New Roman" w:hAnsi="Times New Roman" w:cs="Times New Roman"/>
          <w:sz w:val="24"/>
          <w:szCs w:val="24"/>
          <w:lang w:val="en-US"/>
        </w:rPr>
        <w:tab/>
        <w:t>$5b</w:t>
      </w:r>
      <w:r>
        <w:rPr>
          <w:rFonts w:ascii="Times New Roman" w:hAnsi="Times New Roman" w:cs="Times New Roman"/>
          <w:sz w:val="24"/>
          <w:szCs w:val="24"/>
          <w:lang w:val="en-US"/>
        </w:rPr>
        <w:tab/>
      </w:r>
      <w:r w:rsidR="00026028">
        <w:rPr>
          <w:rFonts w:ascii="Times New Roman" w:hAnsi="Times New Roman" w:cs="Times New Roman"/>
          <w:sz w:val="24"/>
          <w:szCs w:val="24"/>
          <w:lang w:val="en-US"/>
        </w:rPr>
        <w:t>$2t*</w:t>
      </w:r>
      <w:r w:rsidR="006D2EFE">
        <w:rPr>
          <w:rFonts w:ascii="Times New Roman" w:hAnsi="Times New Roman" w:cs="Times New Roman"/>
          <w:sz w:val="24"/>
          <w:szCs w:val="24"/>
          <w:lang w:val="en-US"/>
        </w:rPr>
        <w:t>0.06</w:t>
      </w:r>
      <w:r w:rsidR="00026028">
        <w:rPr>
          <w:rFonts w:ascii="Times New Roman" w:hAnsi="Times New Roman" w:cs="Times New Roman"/>
          <w:sz w:val="24"/>
          <w:szCs w:val="24"/>
          <w:lang w:val="en-US"/>
        </w:rPr>
        <w:t>*0.5 = $60b</w:t>
      </w:r>
    </w:p>
    <w:p w14:paraId="4EED429E" w14:textId="77777777" w:rsidR="00BB059A" w:rsidRDefault="00BB059A" w:rsidP="00A01FB1">
      <w:pPr>
        <w:tabs>
          <w:tab w:val="left" w:pos="1560"/>
          <w:tab w:val="left" w:pos="3261"/>
          <w:tab w:val="left" w:pos="5670"/>
          <w:tab w:val="left" w:pos="6521"/>
        </w:tabs>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Kompas</w:t>
      </w:r>
      <w:proofErr w:type="spellEnd"/>
      <w:r>
        <w:rPr>
          <w:rFonts w:ascii="Times New Roman" w:hAnsi="Times New Roman" w:cs="Times New Roman"/>
          <w:sz w:val="24"/>
          <w:szCs w:val="24"/>
          <w:lang w:val="en-US"/>
        </w:rPr>
        <w:t xml:space="preserve"> et al</w:t>
      </w:r>
      <w:r w:rsidR="009C4E57">
        <w:rPr>
          <w:rFonts w:ascii="Times New Roman" w:hAnsi="Times New Roman" w:cs="Times New Roman"/>
          <w:sz w:val="24"/>
          <w:szCs w:val="24"/>
          <w:lang w:val="en-US"/>
        </w:rPr>
        <w:tab/>
        <w:t>260,000</w:t>
      </w:r>
      <w:r w:rsidR="009C4E57">
        <w:rPr>
          <w:rFonts w:ascii="Times New Roman" w:hAnsi="Times New Roman" w:cs="Times New Roman"/>
          <w:sz w:val="24"/>
          <w:szCs w:val="24"/>
          <w:lang w:val="en-US"/>
        </w:rPr>
        <w:tab/>
      </w:r>
      <w:r w:rsidR="00026028">
        <w:rPr>
          <w:rFonts w:ascii="Times New Roman" w:hAnsi="Times New Roman" w:cs="Times New Roman"/>
          <w:sz w:val="24"/>
          <w:szCs w:val="24"/>
          <w:lang w:val="en-US"/>
        </w:rPr>
        <w:t>$0.21</w:t>
      </w:r>
      <w:r w:rsidR="007F1ADE">
        <w:rPr>
          <w:rFonts w:ascii="Times New Roman" w:hAnsi="Times New Roman" w:cs="Times New Roman"/>
          <w:sz w:val="24"/>
          <w:szCs w:val="24"/>
          <w:lang w:val="en-US"/>
        </w:rPr>
        <w:t>3</w:t>
      </w:r>
      <w:r w:rsidR="00026028">
        <w:rPr>
          <w:rFonts w:ascii="Times New Roman" w:hAnsi="Times New Roman" w:cs="Times New Roman"/>
          <w:sz w:val="24"/>
          <w:szCs w:val="24"/>
          <w:lang w:val="en-US"/>
        </w:rPr>
        <w:t>m*6.9 = $1.5m</w:t>
      </w:r>
      <w:r w:rsidR="00171920">
        <w:rPr>
          <w:rFonts w:ascii="Times New Roman" w:hAnsi="Times New Roman" w:cs="Times New Roman"/>
          <w:sz w:val="24"/>
          <w:szCs w:val="24"/>
          <w:lang w:val="en-US"/>
        </w:rPr>
        <w:tab/>
        <w:t>$</w:t>
      </w:r>
      <w:r w:rsidR="007B522F">
        <w:rPr>
          <w:rFonts w:ascii="Times New Roman" w:hAnsi="Times New Roman" w:cs="Times New Roman"/>
          <w:sz w:val="24"/>
          <w:szCs w:val="24"/>
          <w:lang w:val="en-US"/>
        </w:rPr>
        <w:t>390</w:t>
      </w:r>
      <w:r w:rsidR="00171920">
        <w:rPr>
          <w:rFonts w:ascii="Times New Roman" w:hAnsi="Times New Roman" w:cs="Times New Roman"/>
          <w:sz w:val="24"/>
          <w:szCs w:val="24"/>
          <w:lang w:val="en-US"/>
        </w:rPr>
        <w:t>b</w:t>
      </w:r>
      <w:r w:rsidR="009C4E57">
        <w:rPr>
          <w:rFonts w:ascii="Times New Roman" w:hAnsi="Times New Roman" w:cs="Times New Roman"/>
          <w:sz w:val="24"/>
          <w:szCs w:val="24"/>
          <w:lang w:val="en-US"/>
        </w:rPr>
        <w:tab/>
      </w:r>
      <w:r w:rsidR="00026028">
        <w:rPr>
          <w:rFonts w:ascii="Times New Roman" w:hAnsi="Times New Roman" w:cs="Times New Roman"/>
          <w:sz w:val="24"/>
          <w:szCs w:val="24"/>
          <w:lang w:val="en-US"/>
        </w:rPr>
        <w:t>$120b</w:t>
      </w:r>
    </w:p>
    <w:p w14:paraId="7F218608" w14:textId="77777777" w:rsidR="00DE5C5B" w:rsidRDefault="00DE5C5B" w:rsidP="00A01FB1">
      <w:pPr>
        <w:tabs>
          <w:tab w:val="left" w:pos="1560"/>
          <w:tab w:val="left" w:pos="3261"/>
          <w:tab w:val="left" w:pos="5670"/>
          <w:tab w:val="left" w:pos="652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Holden </w:t>
      </w:r>
      <w:r w:rsidR="00A76677">
        <w:rPr>
          <w:rFonts w:ascii="Times New Roman" w:hAnsi="Times New Roman" w:cs="Times New Roman"/>
          <w:sz w:val="24"/>
          <w:szCs w:val="24"/>
          <w:lang w:val="en-US"/>
        </w:rPr>
        <w:t>et al</w:t>
      </w:r>
      <w:r w:rsidR="00026028">
        <w:rPr>
          <w:rFonts w:ascii="Times New Roman" w:hAnsi="Times New Roman" w:cs="Times New Roman"/>
          <w:sz w:val="24"/>
          <w:szCs w:val="24"/>
          <w:lang w:val="en-US"/>
        </w:rPr>
        <w:tab/>
        <w:t>225,000</w:t>
      </w:r>
      <w:r w:rsidR="00026028">
        <w:rPr>
          <w:rFonts w:ascii="Times New Roman" w:hAnsi="Times New Roman" w:cs="Times New Roman"/>
          <w:sz w:val="24"/>
          <w:szCs w:val="24"/>
          <w:lang w:val="en-US"/>
        </w:rPr>
        <w:tab/>
        <w:t>$4.9m</w:t>
      </w:r>
      <w:r>
        <w:rPr>
          <w:rFonts w:ascii="Times New Roman" w:hAnsi="Times New Roman" w:cs="Times New Roman"/>
          <w:sz w:val="24"/>
          <w:szCs w:val="24"/>
          <w:lang w:val="en-US"/>
        </w:rPr>
        <w:tab/>
      </w:r>
      <w:r w:rsidR="001D601B">
        <w:rPr>
          <w:rFonts w:ascii="Times New Roman" w:hAnsi="Times New Roman" w:cs="Times New Roman"/>
          <w:sz w:val="24"/>
          <w:szCs w:val="24"/>
          <w:lang w:val="en-US"/>
        </w:rPr>
        <w:t>$1.1t</w:t>
      </w:r>
      <w:r w:rsidR="00171920">
        <w:rPr>
          <w:rFonts w:ascii="Times New Roman" w:hAnsi="Times New Roman" w:cs="Times New Roman"/>
          <w:sz w:val="24"/>
          <w:szCs w:val="24"/>
          <w:lang w:val="en-US"/>
        </w:rPr>
        <w:tab/>
      </w:r>
      <w:r w:rsidR="00026028">
        <w:rPr>
          <w:rFonts w:ascii="Times New Roman" w:hAnsi="Times New Roman" w:cs="Times New Roman"/>
          <w:sz w:val="24"/>
          <w:szCs w:val="24"/>
          <w:lang w:val="en-US"/>
        </w:rPr>
        <w:t>$2t*</w:t>
      </w:r>
      <w:r w:rsidR="006D2EFE">
        <w:rPr>
          <w:rFonts w:ascii="Times New Roman" w:hAnsi="Times New Roman" w:cs="Times New Roman"/>
          <w:sz w:val="24"/>
          <w:szCs w:val="24"/>
          <w:lang w:val="en-US"/>
        </w:rPr>
        <w:t>0.1</w:t>
      </w:r>
      <w:r w:rsidR="00026028">
        <w:rPr>
          <w:rFonts w:ascii="Times New Roman" w:hAnsi="Times New Roman" w:cs="Times New Roman"/>
          <w:sz w:val="24"/>
          <w:szCs w:val="24"/>
          <w:lang w:val="en-US"/>
        </w:rPr>
        <w:t>*0.5 = $100b</w:t>
      </w:r>
    </w:p>
    <w:p w14:paraId="441FCA8E" w14:textId="77777777" w:rsidR="00DE5C5B" w:rsidRDefault="00DE5C5B" w:rsidP="00BB059A">
      <w:pPr>
        <w:tabs>
          <w:tab w:val="left" w:pos="2268"/>
          <w:tab w:val="left" w:pos="4536"/>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12AA87EC" w14:textId="77777777" w:rsidR="00BB059A" w:rsidRDefault="00BB059A" w:rsidP="00BB059A">
      <w:pPr>
        <w:tabs>
          <w:tab w:val="left" w:pos="2268"/>
          <w:tab w:val="left" w:pos="4536"/>
          <w:tab w:val="left" w:pos="6804"/>
        </w:tabs>
        <w:spacing w:after="0" w:line="360" w:lineRule="auto"/>
        <w:jc w:val="both"/>
        <w:rPr>
          <w:rFonts w:ascii="Times New Roman" w:hAnsi="Times New Roman" w:cs="Times New Roman"/>
          <w:sz w:val="24"/>
          <w:szCs w:val="24"/>
          <w:lang w:val="en-US"/>
        </w:rPr>
      </w:pPr>
    </w:p>
    <w:p w14:paraId="332D3683" w14:textId="77777777" w:rsidR="00DC0A31" w:rsidRPr="00060568" w:rsidRDefault="00035EC2" w:rsidP="00060568">
      <w:pPr>
        <w:pStyle w:val="ListParagraph"/>
        <w:numPr>
          <w:ilvl w:val="0"/>
          <w:numId w:val="9"/>
        </w:numPr>
        <w:spacing w:after="0" w:line="360" w:lineRule="auto"/>
        <w:ind w:left="426" w:hanging="426"/>
        <w:jc w:val="both"/>
        <w:rPr>
          <w:rFonts w:ascii="Times New Roman" w:hAnsi="Times New Roman" w:cs="Times New Roman"/>
          <w:b/>
          <w:sz w:val="24"/>
          <w:szCs w:val="24"/>
          <w:lang w:val="en-US"/>
        </w:rPr>
      </w:pPr>
      <w:r w:rsidRPr="00060568">
        <w:rPr>
          <w:rFonts w:ascii="Times New Roman" w:hAnsi="Times New Roman" w:cs="Times New Roman"/>
          <w:b/>
          <w:sz w:val="24"/>
          <w:szCs w:val="24"/>
          <w:lang w:val="en-US"/>
        </w:rPr>
        <w:t>Looking Forward on 30</w:t>
      </w:r>
      <w:r w:rsidR="000578B5" w:rsidRPr="00060568">
        <w:rPr>
          <w:rFonts w:ascii="Times New Roman" w:hAnsi="Times New Roman" w:cs="Times New Roman"/>
          <w:b/>
          <w:sz w:val="24"/>
          <w:szCs w:val="24"/>
          <w:lang w:val="en-US"/>
        </w:rPr>
        <w:t xml:space="preserve"> </w:t>
      </w:r>
      <w:r w:rsidR="00155B85" w:rsidRPr="00060568">
        <w:rPr>
          <w:rFonts w:ascii="Times New Roman" w:hAnsi="Times New Roman" w:cs="Times New Roman"/>
          <w:b/>
          <w:sz w:val="24"/>
          <w:szCs w:val="24"/>
          <w:lang w:val="en-US"/>
        </w:rPr>
        <w:t>December</w:t>
      </w:r>
      <w:r w:rsidR="00BF473D" w:rsidRPr="00060568">
        <w:rPr>
          <w:rFonts w:ascii="Times New Roman" w:hAnsi="Times New Roman" w:cs="Times New Roman"/>
          <w:b/>
          <w:sz w:val="24"/>
          <w:szCs w:val="24"/>
          <w:lang w:val="en-US"/>
        </w:rPr>
        <w:t xml:space="preserve"> 2020</w:t>
      </w:r>
    </w:p>
    <w:p w14:paraId="689107E5" w14:textId="77777777" w:rsidR="00DC0A31" w:rsidRDefault="00DC0A31" w:rsidP="00F00CE2">
      <w:pPr>
        <w:spacing w:after="0" w:line="360" w:lineRule="auto"/>
        <w:jc w:val="both"/>
        <w:rPr>
          <w:rFonts w:ascii="Times New Roman" w:hAnsi="Times New Roman" w:cs="Times New Roman"/>
          <w:sz w:val="24"/>
          <w:szCs w:val="24"/>
          <w:lang w:val="en-US"/>
        </w:rPr>
      </w:pPr>
    </w:p>
    <w:p w14:paraId="1EE8C0E6" w14:textId="77777777" w:rsidR="0093706D" w:rsidRDefault="006150AA"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analysis to date </w:t>
      </w:r>
      <w:r w:rsidR="001437E9">
        <w:rPr>
          <w:rFonts w:ascii="Times New Roman" w:hAnsi="Times New Roman" w:cs="Times New Roman"/>
          <w:sz w:val="24"/>
          <w:szCs w:val="24"/>
          <w:lang w:val="en-US"/>
        </w:rPr>
        <w:t xml:space="preserve">examines the possibility </w:t>
      </w:r>
      <w:r>
        <w:rPr>
          <w:rFonts w:ascii="Times New Roman" w:hAnsi="Times New Roman" w:cs="Times New Roman"/>
          <w:sz w:val="24"/>
          <w:szCs w:val="24"/>
          <w:lang w:val="en-US"/>
        </w:rPr>
        <w:t xml:space="preserve">that mitigation was adopted by Australia in March 2020.  </w:t>
      </w:r>
      <w:r w:rsidR="008C5589">
        <w:rPr>
          <w:rFonts w:ascii="Times New Roman" w:hAnsi="Times New Roman" w:cs="Times New Roman"/>
          <w:sz w:val="24"/>
          <w:szCs w:val="24"/>
          <w:lang w:val="en-US"/>
        </w:rPr>
        <w:t xml:space="preserve">However, </w:t>
      </w:r>
      <w:r>
        <w:rPr>
          <w:rFonts w:ascii="Times New Roman" w:hAnsi="Times New Roman" w:cs="Times New Roman"/>
          <w:sz w:val="24"/>
          <w:szCs w:val="24"/>
          <w:lang w:val="en-US"/>
        </w:rPr>
        <w:t xml:space="preserve">Australia locked down </w:t>
      </w:r>
      <w:r w:rsidR="00EF6F10">
        <w:rPr>
          <w:rFonts w:ascii="Times New Roman" w:hAnsi="Times New Roman" w:cs="Times New Roman"/>
          <w:sz w:val="24"/>
          <w:szCs w:val="24"/>
          <w:lang w:val="en-US"/>
        </w:rPr>
        <w:t xml:space="preserve">in March </w:t>
      </w:r>
      <w:r w:rsidR="00AE5A29">
        <w:rPr>
          <w:rFonts w:ascii="Times New Roman" w:hAnsi="Times New Roman" w:cs="Times New Roman"/>
          <w:sz w:val="24"/>
          <w:szCs w:val="24"/>
          <w:lang w:val="en-US"/>
        </w:rPr>
        <w:t xml:space="preserve">2020 </w:t>
      </w:r>
      <w:r>
        <w:rPr>
          <w:rFonts w:ascii="Times New Roman" w:hAnsi="Times New Roman" w:cs="Times New Roman"/>
          <w:sz w:val="24"/>
          <w:szCs w:val="24"/>
          <w:lang w:val="en-US"/>
        </w:rPr>
        <w:t xml:space="preserve">and incurred 900 deaths to 30 December.  </w:t>
      </w:r>
      <w:r w:rsidR="0093706D">
        <w:rPr>
          <w:rFonts w:ascii="Times New Roman" w:hAnsi="Times New Roman" w:cs="Times New Roman"/>
          <w:sz w:val="24"/>
          <w:szCs w:val="24"/>
          <w:lang w:val="en-US"/>
        </w:rPr>
        <w:t>The virus is currently suppressed but a new outbreak may occur</w:t>
      </w:r>
      <w:r w:rsidR="00E6327E">
        <w:rPr>
          <w:rFonts w:ascii="Times New Roman" w:hAnsi="Times New Roman" w:cs="Times New Roman"/>
          <w:sz w:val="24"/>
          <w:szCs w:val="24"/>
          <w:lang w:val="en-US"/>
        </w:rPr>
        <w:t xml:space="preserve"> at any time</w:t>
      </w:r>
      <w:r w:rsidR="0093706D">
        <w:rPr>
          <w:rFonts w:ascii="Times New Roman" w:hAnsi="Times New Roman" w:cs="Times New Roman"/>
          <w:sz w:val="24"/>
          <w:szCs w:val="24"/>
          <w:lang w:val="en-US"/>
        </w:rPr>
        <w:t xml:space="preserve">.  If it does, hopefully it can be suppressed without </w:t>
      </w:r>
      <w:r w:rsidR="00AE5A29">
        <w:rPr>
          <w:rFonts w:ascii="Times New Roman" w:hAnsi="Times New Roman" w:cs="Times New Roman"/>
          <w:sz w:val="24"/>
          <w:szCs w:val="24"/>
          <w:lang w:val="en-US"/>
        </w:rPr>
        <w:t xml:space="preserve">further </w:t>
      </w:r>
      <w:r w:rsidR="0093706D">
        <w:rPr>
          <w:rFonts w:ascii="Times New Roman" w:hAnsi="Times New Roman" w:cs="Times New Roman"/>
          <w:sz w:val="24"/>
          <w:szCs w:val="24"/>
          <w:lang w:val="en-US"/>
        </w:rPr>
        <w:t>resort to lockdowns.  If it cannot be, then the question of lockdowns arises again.  If it does, an estimate of the deaths that would be experienced under a mitigation policy will be useful.  Such an estimate will be</w:t>
      </w:r>
      <w:r w:rsidR="00D649D1">
        <w:rPr>
          <w:rFonts w:ascii="Times New Roman" w:hAnsi="Times New Roman" w:cs="Times New Roman"/>
          <w:sz w:val="24"/>
          <w:szCs w:val="24"/>
          <w:lang w:val="en-US"/>
        </w:rPr>
        <w:t xml:space="preserve"> much less than the estimate</w:t>
      </w:r>
      <w:r w:rsidR="0093706D">
        <w:rPr>
          <w:rFonts w:ascii="Times New Roman" w:hAnsi="Times New Roman" w:cs="Times New Roman"/>
          <w:sz w:val="24"/>
          <w:szCs w:val="24"/>
          <w:lang w:val="en-US"/>
        </w:rPr>
        <w:t xml:space="preserve"> provided in the previous section, because the period over which the virus </w:t>
      </w:r>
      <w:r w:rsidR="00115334">
        <w:rPr>
          <w:rFonts w:ascii="Times New Roman" w:hAnsi="Times New Roman" w:cs="Times New Roman"/>
          <w:sz w:val="24"/>
          <w:szCs w:val="24"/>
          <w:lang w:val="en-US"/>
        </w:rPr>
        <w:t xml:space="preserve">would then </w:t>
      </w:r>
      <w:r w:rsidR="0093706D">
        <w:rPr>
          <w:rFonts w:ascii="Times New Roman" w:hAnsi="Times New Roman" w:cs="Times New Roman"/>
          <w:sz w:val="24"/>
          <w:szCs w:val="24"/>
          <w:lang w:val="en-US"/>
        </w:rPr>
        <w:t xml:space="preserve">inflict casualties </w:t>
      </w:r>
      <w:r w:rsidR="00115334">
        <w:rPr>
          <w:rFonts w:ascii="Times New Roman" w:hAnsi="Times New Roman" w:cs="Times New Roman"/>
          <w:sz w:val="24"/>
          <w:szCs w:val="24"/>
          <w:lang w:val="en-US"/>
        </w:rPr>
        <w:t xml:space="preserve">would now be </w:t>
      </w:r>
      <w:r w:rsidR="0093706D">
        <w:rPr>
          <w:rFonts w:ascii="Times New Roman" w:hAnsi="Times New Roman" w:cs="Times New Roman"/>
          <w:sz w:val="24"/>
          <w:szCs w:val="24"/>
          <w:lang w:val="en-US"/>
        </w:rPr>
        <w:t xml:space="preserve">much less, i.e., from </w:t>
      </w:r>
      <w:r w:rsidR="008C5589">
        <w:rPr>
          <w:rFonts w:ascii="Times New Roman" w:hAnsi="Times New Roman" w:cs="Times New Roman"/>
          <w:sz w:val="24"/>
          <w:szCs w:val="24"/>
          <w:lang w:val="en-US"/>
        </w:rPr>
        <w:t xml:space="preserve">the date at which such a decision must be made until </w:t>
      </w:r>
      <w:r w:rsidR="0093706D">
        <w:rPr>
          <w:rFonts w:ascii="Times New Roman" w:hAnsi="Times New Roman" w:cs="Times New Roman"/>
          <w:sz w:val="24"/>
          <w:szCs w:val="24"/>
          <w:lang w:val="en-US"/>
        </w:rPr>
        <w:t xml:space="preserve">mass vaccination (of high-risk groups) is completed in several months, rather than from March 2020 </w:t>
      </w:r>
      <w:r w:rsidR="00D649D1">
        <w:rPr>
          <w:rFonts w:ascii="Times New Roman" w:hAnsi="Times New Roman" w:cs="Times New Roman"/>
          <w:sz w:val="24"/>
          <w:szCs w:val="24"/>
          <w:lang w:val="en-US"/>
        </w:rPr>
        <w:t xml:space="preserve">until </w:t>
      </w:r>
      <w:r w:rsidR="0093706D">
        <w:rPr>
          <w:rFonts w:ascii="Times New Roman" w:hAnsi="Times New Roman" w:cs="Times New Roman"/>
          <w:sz w:val="24"/>
          <w:szCs w:val="24"/>
          <w:lang w:val="en-US"/>
        </w:rPr>
        <w:t>this mass vaccination point.</w:t>
      </w:r>
    </w:p>
    <w:p w14:paraId="623CEFD3" w14:textId="77777777" w:rsidR="00AE5A29" w:rsidRDefault="00AE5A29" w:rsidP="00F00CE2">
      <w:pPr>
        <w:spacing w:after="0" w:line="360" w:lineRule="auto"/>
        <w:jc w:val="both"/>
        <w:rPr>
          <w:rFonts w:ascii="Times New Roman" w:hAnsi="Times New Roman" w:cs="Times New Roman"/>
          <w:sz w:val="24"/>
          <w:szCs w:val="24"/>
          <w:lang w:val="en-US"/>
        </w:rPr>
      </w:pPr>
    </w:p>
    <w:p w14:paraId="56C95B4D" w14:textId="77777777" w:rsidR="008D092F" w:rsidRDefault="00AE5A29" w:rsidP="008D092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illustrate this point, suppose that </w:t>
      </w:r>
      <w:r w:rsidR="008D092F">
        <w:rPr>
          <w:rFonts w:ascii="Times New Roman" w:hAnsi="Times New Roman" w:cs="Times New Roman"/>
          <w:sz w:val="24"/>
          <w:szCs w:val="24"/>
          <w:lang w:val="en-US"/>
        </w:rPr>
        <w:t xml:space="preserve">adoption of a mitigation policy in the face of a new outbreak </w:t>
      </w:r>
      <w:r w:rsidR="00AA59EB">
        <w:rPr>
          <w:rFonts w:ascii="Times New Roman" w:hAnsi="Times New Roman" w:cs="Times New Roman"/>
          <w:sz w:val="24"/>
          <w:szCs w:val="24"/>
          <w:lang w:val="en-US"/>
        </w:rPr>
        <w:t xml:space="preserve">today </w:t>
      </w:r>
      <w:r w:rsidR="008D092F">
        <w:rPr>
          <w:rFonts w:ascii="Times New Roman" w:hAnsi="Times New Roman" w:cs="Times New Roman"/>
          <w:sz w:val="24"/>
          <w:szCs w:val="24"/>
          <w:lang w:val="en-US"/>
        </w:rPr>
        <w:t xml:space="preserve">that could not be contained without </w:t>
      </w:r>
      <w:r w:rsidR="009A55BC">
        <w:rPr>
          <w:rFonts w:ascii="Times New Roman" w:hAnsi="Times New Roman" w:cs="Times New Roman"/>
          <w:sz w:val="24"/>
          <w:szCs w:val="24"/>
          <w:lang w:val="en-US"/>
        </w:rPr>
        <w:t xml:space="preserve">a </w:t>
      </w:r>
      <w:r w:rsidR="008D092F">
        <w:rPr>
          <w:rFonts w:ascii="Times New Roman" w:hAnsi="Times New Roman" w:cs="Times New Roman"/>
          <w:sz w:val="24"/>
          <w:szCs w:val="24"/>
          <w:lang w:val="en-US"/>
        </w:rPr>
        <w:t>n</w:t>
      </w:r>
      <w:r w:rsidR="009A55BC">
        <w:rPr>
          <w:rFonts w:ascii="Times New Roman" w:hAnsi="Times New Roman" w:cs="Times New Roman"/>
          <w:sz w:val="24"/>
          <w:szCs w:val="24"/>
          <w:lang w:val="en-US"/>
        </w:rPr>
        <w:t>ationwide lockdown</w:t>
      </w:r>
      <w:r w:rsidR="008D092F">
        <w:rPr>
          <w:rFonts w:ascii="Times New Roman" w:hAnsi="Times New Roman" w:cs="Times New Roman"/>
          <w:sz w:val="24"/>
          <w:szCs w:val="24"/>
          <w:lang w:val="en-US"/>
        </w:rPr>
        <w:t xml:space="preserve"> will incur additional deaths (relative to a lockdown policy) equal to those that would have occurred under a mitigation policy from March 2020 till 30 December 2020, and the latter figure is the highest estimate provided above of 17,000.  In addition, all other features of the preceding analysis prevail, i.e., </w:t>
      </w:r>
      <w:r w:rsidR="008516B2">
        <w:rPr>
          <w:rFonts w:ascii="Times New Roman" w:hAnsi="Times New Roman" w:cs="Times New Roman"/>
          <w:sz w:val="24"/>
          <w:szCs w:val="24"/>
          <w:lang w:val="en-US"/>
        </w:rPr>
        <w:t xml:space="preserve">QALY losses from these additional deaths </w:t>
      </w:r>
      <w:r w:rsidR="002E4717">
        <w:rPr>
          <w:rFonts w:ascii="Times New Roman" w:hAnsi="Times New Roman" w:cs="Times New Roman"/>
          <w:sz w:val="24"/>
          <w:szCs w:val="24"/>
          <w:lang w:val="en-US"/>
        </w:rPr>
        <w:t xml:space="preserve">will be </w:t>
      </w:r>
      <w:r w:rsidR="008516B2">
        <w:rPr>
          <w:rFonts w:ascii="Times New Roman" w:hAnsi="Times New Roman" w:cs="Times New Roman"/>
          <w:sz w:val="24"/>
          <w:szCs w:val="24"/>
          <w:lang w:val="en-US"/>
        </w:rPr>
        <w:t xml:space="preserve">four times the number </w:t>
      </w:r>
      <w:r w:rsidR="008516B2">
        <w:rPr>
          <w:rFonts w:ascii="Times New Roman" w:hAnsi="Times New Roman" w:cs="Times New Roman"/>
          <w:sz w:val="24"/>
          <w:szCs w:val="24"/>
          <w:lang w:val="en-US"/>
        </w:rPr>
        <w:lastRenderedPageBreak/>
        <w:t xml:space="preserve">of deaths, </w:t>
      </w:r>
      <w:r w:rsidR="008D092F">
        <w:rPr>
          <w:rFonts w:ascii="Times New Roman" w:hAnsi="Times New Roman" w:cs="Times New Roman"/>
          <w:sz w:val="24"/>
          <w:szCs w:val="24"/>
          <w:lang w:val="en-US"/>
        </w:rPr>
        <w:t xml:space="preserve">GDP losses from </w:t>
      </w:r>
      <w:r w:rsidR="002E4717">
        <w:rPr>
          <w:rFonts w:ascii="Times New Roman" w:hAnsi="Times New Roman" w:cs="Times New Roman"/>
          <w:sz w:val="24"/>
          <w:szCs w:val="24"/>
          <w:lang w:val="en-US"/>
        </w:rPr>
        <w:t xml:space="preserve">this future lockdown will be </w:t>
      </w:r>
      <w:r w:rsidR="00E765EE">
        <w:rPr>
          <w:rFonts w:ascii="Times New Roman" w:hAnsi="Times New Roman" w:cs="Times New Roman"/>
          <w:sz w:val="24"/>
          <w:szCs w:val="24"/>
          <w:lang w:val="en-US"/>
        </w:rPr>
        <w:t>$16</w:t>
      </w:r>
      <w:r w:rsidR="002A749E">
        <w:rPr>
          <w:rFonts w:ascii="Times New Roman" w:hAnsi="Times New Roman" w:cs="Times New Roman"/>
          <w:sz w:val="24"/>
          <w:szCs w:val="24"/>
          <w:lang w:val="en-US"/>
        </w:rPr>
        <w:t>0b</w:t>
      </w:r>
      <w:r w:rsidR="008D092F">
        <w:rPr>
          <w:rFonts w:ascii="Times New Roman" w:hAnsi="Times New Roman" w:cs="Times New Roman"/>
          <w:sz w:val="24"/>
          <w:szCs w:val="24"/>
          <w:lang w:val="en-US"/>
        </w:rPr>
        <w:t xml:space="preserve">, </w:t>
      </w:r>
      <w:r w:rsidR="00F23D14">
        <w:rPr>
          <w:rFonts w:ascii="Times New Roman" w:hAnsi="Times New Roman" w:cs="Times New Roman"/>
          <w:sz w:val="24"/>
          <w:szCs w:val="24"/>
          <w:lang w:val="en-US"/>
        </w:rPr>
        <w:t xml:space="preserve">the </w:t>
      </w:r>
      <w:r w:rsidR="008D092F">
        <w:rPr>
          <w:rFonts w:ascii="Times New Roman" w:hAnsi="Times New Roman" w:cs="Times New Roman"/>
          <w:sz w:val="24"/>
          <w:szCs w:val="24"/>
          <w:lang w:val="en-US"/>
        </w:rPr>
        <w:t xml:space="preserve">medical costs for sufferers </w:t>
      </w:r>
      <w:r w:rsidR="00F23D14">
        <w:rPr>
          <w:rFonts w:ascii="Times New Roman" w:hAnsi="Times New Roman" w:cs="Times New Roman"/>
          <w:sz w:val="24"/>
          <w:szCs w:val="24"/>
          <w:lang w:val="en-US"/>
        </w:rPr>
        <w:t xml:space="preserve">will be </w:t>
      </w:r>
      <w:r w:rsidR="008D092F">
        <w:rPr>
          <w:rFonts w:ascii="Times New Roman" w:hAnsi="Times New Roman" w:cs="Times New Roman"/>
          <w:sz w:val="24"/>
          <w:szCs w:val="24"/>
          <w:lang w:val="en-US"/>
        </w:rPr>
        <w:t xml:space="preserve">$4.2b, </w:t>
      </w:r>
      <w:r w:rsidR="002A749E">
        <w:rPr>
          <w:rFonts w:ascii="Times New Roman" w:hAnsi="Times New Roman" w:cs="Times New Roman"/>
          <w:sz w:val="24"/>
          <w:szCs w:val="24"/>
          <w:lang w:val="en-US"/>
        </w:rPr>
        <w:t xml:space="preserve">and </w:t>
      </w:r>
      <w:r w:rsidR="008D092F">
        <w:rPr>
          <w:rFonts w:ascii="Times New Roman" w:hAnsi="Times New Roman" w:cs="Times New Roman"/>
          <w:sz w:val="24"/>
          <w:szCs w:val="24"/>
          <w:lang w:val="en-US"/>
        </w:rPr>
        <w:t xml:space="preserve">GDP losses from those absent from work </w:t>
      </w:r>
      <w:r w:rsidR="00F23D14">
        <w:rPr>
          <w:rFonts w:ascii="Times New Roman" w:hAnsi="Times New Roman" w:cs="Times New Roman"/>
          <w:sz w:val="24"/>
          <w:szCs w:val="24"/>
          <w:lang w:val="en-US"/>
        </w:rPr>
        <w:t xml:space="preserve">will be </w:t>
      </w:r>
      <w:r w:rsidR="002A749E">
        <w:rPr>
          <w:rFonts w:ascii="Times New Roman" w:hAnsi="Times New Roman" w:cs="Times New Roman"/>
          <w:sz w:val="24"/>
          <w:szCs w:val="24"/>
          <w:lang w:val="en-US"/>
        </w:rPr>
        <w:t>$6.8b</w:t>
      </w:r>
      <w:r w:rsidR="008D092F">
        <w:rPr>
          <w:rFonts w:ascii="Times New Roman" w:hAnsi="Times New Roman" w:cs="Times New Roman"/>
          <w:sz w:val="24"/>
          <w:szCs w:val="24"/>
          <w:lang w:val="en-US"/>
        </w:rPr>
        <w:t xml:space="preserve">.  </w:t>
      </w:r>
      <w:r w:rsidR="002F0588">
        <w:rPr>
          <w:rFonts w:ascii="Times New Roman" w:hAnsi="Times New Roman" w:cs="Times New Roman"/>
          <w:sz w:val="24"/>
          <w:szCs w:val="24"/>
          <w:lang w:val="en-US"/>
        </w:rPr>
        <w:t xml:space="preserve">With no allowance for the effects of unemployment, the </w:t>
      </w:r>
      <w:r w:rsidR="008D092F">
        <w:rPr>
          <w:rFonts w:ascii="Times New Roman" w:hAnsi="Times New Roman" w:cs="Times New Roman"/>
          <w:sz w:val="24"/>
          <w:szCs w:val="24"/>
          <w:lang w:val="en-US"/>
        </w:rPr>
        <w:t xml:space="preserve">cost per QALY saved through </w:t>
      </w:r>
      <w:r w:rsidR="009A55BC">
        <w:rPr>
          <w:rFonts w:ascii="Times New Roman" w:hAnsi="Times New Roman" w:cs="Times New Roman"/>
          <w:sz w:val="24"/>
          <w:szCs w:val="24"/>
          <w:lang w:val="en-US"/>
        </w:rPr>
        <w:t>a lockdown</w:t>
      </w:r>
      <w:r w:rsidR="008D092F">
        <w:rPr>
          <w:rFonts w:ascii="Times New Roman" w:hAnsi="Times New Roman" w:cs="Times New Roman"/>
          <w:sz w:val="24"/>
          <w:szCs w:val="24"/>
          <w:lang w:val="en-US"/>
        </w:rPr>
        <w:t xml:space="preserve"> rather than mitigation </w:t>
      </w:r>
      <w:r w:rsidR="00385805">
        <w:rPr>
          <w:rFonts w:ascii="Times New Roman" w:hAnsi="Times New Roman" w:cs="Times New Roman"/>
          <w:sz w:val="24"/>
          <w:szCs w:val="24"/>
          <w:lang w:val="en-US"/>
        </w:rPr>
        <w:t xml:space="preserve">follows equation (7) with </w:t>
      </w:r>
      <w:r w:rsidR="00385805" w:rsidRPr="00385805">
        <w:rPr>
          <w:rFonts w:ascii="Times New Roman" w:hAnsi="Times New Roman" w:cs="Times New Roman"/>
          <w:i/>
          <w:sz w:val="24"/>
          <w:szCs w:val="24"/>
          <w:lang w:val="en-US"/>
        </w:rPr>
        <w:t>N</w:t>
      </w:r>
      <w:r w:rsidR="00385805">
        <w:rPr>
          <w:rFonts w:ascii="Times New Roman" w:hAnsi="Times New Roman" w:cs="Times New Roman"/>
          <w:sz w:val="24"/>
          <w:szCs w:val="24"/>
          <w:lang w:val="en-US"/>
        </w:rPr>
        <w:t xml:space="preserve"> = 1</w:t>
      </w:r>
      <w:r w:rsidR="0049794F">
        <w:rPr>
          <w:rFonts w:ascii="Times New Roman" w:hAnsi="Times New Roman" w:cs="Times New Roman"/>
          <w:sz w:val="24"/>
          <w:szCs w:val="24"/>
          <w:lang w:val="en-US"/>
        </w:rPr>
        <w:t>:</w:t>
      </w:r>
    </w:p>
    <w:p w14:paraId="05C07729" w14:textId="77777777" w:rsidR="00385805" w:rsidRDefault="00385805" w:rsidP="008D092F">
      <w:pPr>
        <w:spacing w:after="0" w:line="360" w:lineRule="auto"/>
        <w:jc w:val="both"/>
        <w:rPr>
          <w:rFonts w:ascii="Times New Roman" w:hAnsi="Times New Roman" w:cs="Times New Roman"/>
          <w:sz w:val="24"/>
          <w:szCs w:val="24"/>
          <w:lang w:val="en-US"/>
        </w:rPr>
      </w:pPr>
    </w:p>
    <w:p w14:paraId="43A81FBC" w14:textId="77777777" w:rsidR="008D092F" w:rsidRDefault="00F428D1" w:rsidP="008D092F">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$160b-$6.8b-$4.2b</m:t>
              </m:r>
            </m:num>
            <m:den>
              <m:r>
                <w:rPr>
                  <w:rFonts w:ascii="Cambria Math" w:hAnsi="Cambria Math" w:cs="Times New Roman"/>
                  <w:sz w:val="24"/>
                  <w:szCs w:val="24"/>
                  <w:lang w:val="en-US"/>
                </w:rPr>
                <m:t>68,000</m:t>
              </m:r>
            </m:den>
          </m:f>
          <m:r>
            <w:rPr>
              <w:rFonts w:ascii="Cambria Math" w:hAnsi="Cambria Math" w:cs="Times New Roman"/>
              <w:sz w:val="24"/>
              <w:szCs w:val="24"/>
              <w:lang w:val="en-US"/>
            </w:rPr>
            <m:t>=$2.19m                                           (10)</m:t>
          </m:r>
        </m:oMath>
      </m:oMathPara>
    </w:p>
    <w:p w14:paraId="23D63FD9" w14:textId="77777777" w:rsidR="008D092F" w:rsidRDefault="008D092F" w:rsidP="00F00CE2">
      <w:pPr>
        <w:spacing w:after="0" w:line="360" w:lineRule="auto"/>
        <w:jc w:val="both"/>
        <w:rPr>
          <w:rFonts w:ascii="Times New Roman" w:hAnsi="Times New Roman" w:cs="Times New Roman"/>
          <w:sz w:val="24"/>
          <w:szCs w:val="24"/>
          <w:lang w:val="en-US"/>
        </w:rPr>
      </w:pPr>
    </w:p>
    <w:p w14:paraId="6D5C256C" w14:textId="77777777" w:rsidR="0049794F" w:rsidRDefault="0049794F"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w:t>
      </w:r>
      <w:r w:rsidR="002F0588">
        <w:rPr>
          <w:rFonts w:ascii="Times New Roman" w:hAnsi="Times New Roman" w:cs="Times New Roman"/>
          <w:sz w:val="24"/>
          <w:szCs w:val="24"/>
          <w:lang w:val="en-US"/>
        </w:rPr>
        <w:t xml:space="preserve">22 times the </w:t>
      </w:r>
      <w:r w:rsidR="005A57A9">
        <w:rPr>
          <w:rFonts w:ascii="Times New Roman" w:hAnsi="Times New Roman" w:cs="Times New Roman"/>
          <w:sz w:val="24"/>
          <w:szCs w:val="24"/>
          <w:lang w:val="en-US"/>
        </w:rPr>
        <w:t xml:space="preserve">benchmark figure of $100,000, and therefore </w:t>
      </w:r>
      <w:proofErr w:type="spellStart"/>
      <w:r w:rsidR="005A57A9">
        <w:rPr>
          <w:rFonts w:ascii="Times New Roman" w:hAnsi="Times New Roman" w:cs="Times New Roman"/>
          <w:sz w:val="24"/>
          <w:szCs w:val="24"/>
          <w:lang w:val="en-US"/>
        </w:rPr>
        <w:t>favours</w:t>
      </w:r>
      <w:proofErr w:type="spellEnd"/>
      <w:r w:rsidR="005A57A9">
        <w:rPr>
          <w:rFonts w:ascii="Times New Roman" w:hAnsi="Times New Roman" w:cs="Times New Roman"/>
          <w:sz w:val="24"/>
          <w:szCs w:val="24"/>
          <w:lang w:val="en-US"/>
        </w:rPr>
        <w:t xml:space="preserve"> a mitigation policy at this point even more strongly than in March 2020.</w:t>
      </w:r>
    </w:p>
    <w:p w14:paraId="031485EB" w14:textId="77777777" w:rsidR="003419BC" w:rsidRDefault="003419BC" w:rsidP="00F00CE2">
      <w:pPr>
        <w:spacing w:after="0" w:line="360" w:lineRule="auto"/>
        <w:jc w:val="both"/>
        <w:rPr>
          <w:rFonts w:ascii="Times New Roman" w:hAnsi="Times New Roman" w:cs="Times New Roman"/>
          <w:sz w:val="24"/>
          <w:szCs w:val="24"/>
          <w:lang w:val="en-US"/>
        </w:rPr>
      </w:pPr>
    </w:p>
    <w:p w14:paraId="45622837" w14:textId="77777777" w:rsidR="00F93B00" w:rsidRDefault="003419BC" w:rsidP="00F93B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if an outbreak could be contained through locking down only part of the country, </w:t>
      </w:r>
      <w:r w:rsidR="00F428D1">
        <w:rPr>
          <w:rFonts w:ascii="Times New Roman" w:hAnsi="Times New Roman" w:cs="Times New Roman"/>
          <w:sz w:val="24"/>
          <w:szCs w:val="24"/>
          <w:lang w:val="en-US"/>
        </w:rPr>
        <w:t>the GDP losses from doing so would be only some fraction</w:t>
      </w:r>
      <w:r w:rsidR="00F93B00">
        <w:rPr>
          <w:rFonts w:ascii="Times New Roman" w:hAnsi="Times New Roman" w:cs="Times New Roman"/>
          <w:sz w:val="24"/>
          <w:szCs w:val="24"/>
          <w:lang w:val="en-US"/>
        </w:rPr>
        <w:t xml:space="preserve"> (</w:t>
      </w:r>
      <w:r w:rsidR="00F93B00" w:rsidRPr="00F93B00">
        <w:rPr>
          <w:rFonts w:ascii="Times New Roman" w:hAnsi="Times New Roman" w:cs="Times New Roman"/>
          <w:i/>
          <w:sz w:val="24"/>
          <w:szCs w:val="24"/>
          <w:lang w:val="en-US"/>
        </w:rPr>
        <w:t>P</w:t>
      </w:r>
      <w:r w:rsidR="00F93B00">
        <w:rPr>
          <w:rFonts w:ascii="Times New Roman" w:hAnsi="Times New Roman" w:cs="Times New Roman"/>
          <w:sz w:val="24"/>
          <w:szCs w:val="24"/>
          <w:lang w:val="en-US"/>
        </w:rPr>
        <w:t>)</w:t>
      </w:r>
      <w:r w:rsidR="00FD3FBC">
        <w:rPr>
          <w:rFonts w:ascii="Times New Roman" w:hAnsi="Times New Roman" w:cs="Times New Roman"/>
          <w:sz w:val="24"/>
          <w:szCs w:val="24"/>
          <w:lang w:val="en-US"/>
        </w:rPr>
        <w:t xml:space="preserve"> of the $16</w:t>
      </w:r>
      <w:r w:rsidR="00596E32">
        <w:rPr>
          <w:rFonts w:ascii="Times New Roman" w:hAnsi="Times New Roman" w:cs="Times New Roman"/>
          <w:sz w:val="24"/>
          <w:szCs w:val="24"/>
          <w:lang w:val="en-US"/>
        </w:rPr>
        <w:t>0b in equation (10</w:t>
      </w:r>
      <w:r w:rsidR="00F428D1">
        <w:rPr>
          <w:rFonts w:ascii="Times New Roman" w:hAnsi="Times New Roman" w:cs="Times New Roman"/>
          <w:sz w:val="24"/>
          <w:szCs w:val="24"/>
          <w:lang w:val="en-US"/>
        </w:rPr>
        <w:t xml:space="preserve">) whilst all other terms would be unchanged (because locking down any part of the country to prevent an outbreak that would </w:t>
      </w:r>
      <w:r w:rsidR="006267E7">
        <w:rPr>
          <w:rFonts w:ascii="Times New Roman" w:hAnsi="Times New Roman" w:cs="Times New Roman"/>
          <w:sz w:val="24"/>
          <w:szCs w:val="24"/>
          <w:lang w:val="en-US"/>
        </w:rPr>
        <w:t>o</w:t>
      </w:r>
      <w:r w:rsidR="00F428D1">
        <w:rPr>
          <w:rFonts w:ascii="Times New Roman" w:hAnsi="Times New Roman" w:cs="Times New Roman"/>
          <w:sz w:val="24"/>
          <w:szCs w:val="24"/>
          <w:lang w:val="en-US"/>
        </w:rPr>
        <w:t>therwise spread to the entire country</w:t>
      </w:r>
      <w:r w:rsidR="00C31052">
        <w:rPr>
          <w:rFonts w:ascii="Times New Roman" w:hAnsi="Times New Roman" w:cs="Times New Roman"/>
          <w:sz w:val="24"/>
          <w:szCs w:val="24"/>
          <w:lang w:val="en-US"/>
        </w:rPr>
        <w:t xml:space="preserve"> would </w:t>
      </w:r>
      <w:r w:rsidR="00AA59EB">
        <w:rPr>
          <w:rFonts w:ascii="Times New Roman" w:hAnsi="Times New Roman" w:cs="Times New Roman"/>
          <w:sz w:val="24"/>
          <w:szCs w:val="24"/>
          <w:lang w:val="en-US"/>
        </w:rPr>
        <w:t xml:space="preserve">warrant the same values for these </w:t>
      </w:r>
      <w:r w:rsidR="00C31052">
        <w:rPr>
          <w:rFonts w:ascii="Times New Roman" w:hAnsi="Times New Roman" w:cs="Times New Roman"/>
          <w:sz w:val="24"/>
          <w:szCs w:val="24"/>
          <w:lang w:val="en-US"/>
        </w:rPr>
        <w:t xml:space="preserve">other terms as </w:t>
      </w:r>
      <w:r w:rsidR="00AA59EB">
        <w:rPr>
          <w:rFonts w:ascii="Times New Roman" w:hAnsi="Times New Roman" w:cs="Times New Roman"/>
          <w:sz w:val="24"/>
          <w:szCs w:val="24"/>
          <w:lang w:val="en-US"/>
        </w:rPr>
        <w:t xml:space="preserve">for </w:t>
      </w:r>
      <w:r w:rsidR="00C31052">
        <w:rPr>
          <w:rFonts w:ascii="Times New Roman" w:hAnsi="Times New Roman" w:cs="Times New Roman"/>
          <w:sz w:val="24"/>
          <w:szCs w:val="24"/>
          <w:lang w:val="en-US"/>
        </w:rPr>
        <w:t>a nationwide lockdown).</w:t>
      </w:r>
      <w:r w:rsidR="00F93B00">
        <w:rPr>
          <w:rFonts w:ascii="Times New Roman" w:hAnsi="Times New Roman" w:cs="Times New Roman"/>
          <w:sz w:val="24"/>
          <w:szCs w:val="24"/>
          <w:lang w:val="en-US"/>
        </w:rPr>
        <w:t xml:space="preserve">  The cost per QALY saved by lockdown </w:t>
      </w:r>
      <w:r w:rsidR="009A55BC">
        <w:rPr>
          <w:rFonts w:ascii="Times New Roman" w:hAnsi="Times New Roman" w:cs="Times New Roman"/>
          <w:sz w:val="24"/>
          <w:szCs w:val="24"/>
          <w:lang w:val="en-US"/>
        </w:rPr>
        <w:t>would then be</w:t>
      </w:r>
    </w:p>
    <w:p w14:paraId="61ADA763" w14:textId="77777777" w:rsidR="00F93B00" w:rsidRDefault="00F93B00" w:rsidP="00F93B00">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P$160b-$6.8b-$4.2b</m:t>
              </m:r>
            </m:num>
            <m:den>
              <m:r>
                <w:rPr>
                  <w:rFonts w:ascii="Cambria Math" w:hAnsi="Cambria Math" w:cs="Times New Roman"/>
                  <w:sz w:val="24"/>
                  <w:szCs w:val="24"/>
                  <w:lang w:val="en-US"/>
                </w:rPr>
                <m:t>68,000</m:t>
              </m:r>
            </m:den>
          </m:f>
        </m:oMath>
      </m:oMathPara>
    </w:p>
    <w:p w14:paraId="5DFB76E7" w14:textId="77777777" w:rsidR="00F93B00" w:rsidRDefault="00F93B00" w:rsidP="00F93B00">
      <w:pPr>
        <w:spacing w:after="0" w:line="360" w:lineRule="auto"/>
        <w:jc w:val="both"/>
        <w:rPr>
          <w:rFonts w:ascii="Times New Roman" w:hAnsi="Times New Roman" w:cs="Times New Roman"/>
          <w:sz w:val="24"/>
          <w:szCs w:val="24"/>
          <w:lang w:val="en-US"/>
        </w:rPr>
      </w:pPr>
    </w:p>
    <w:p w14:paraId="130D5203" w14:textId="77777777" w:rsidR="00F93B00" w:rsidRDefault="00F93B00"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if </w:t>
      </w:r>
      <w:r w:rsidRPr="003F0E6D">
        <w:rPr>
          <w:rFonts w:ascii="Times New Roman" w:hAnsi="Times New Roman" w:cs="Times New Roman"/>
          <w:i/>
          <w:sz w:val="24"/>
          <w:szCs w:val="24"/>
          <w:lang w:val="en-US"/>
        </w:rPr>
        <w:t>P</w:t>
      </w:r>
      <w:r w:rsidR="00DE47B3">
        <w:rPr>
          <w:rFonts w:ascii="Times New Roman" w:hAnsi="Times New Roman" w:cs="Times New Roman"/>
          <w:sz w:val="24"/>
          <w:szCs w:val="24"/>
          <w:lang w:val="en-US"/>
        </w:rPr>
        <w:t xml:space="preserve"> = 0.10</w:t>
      </w:r>
      <w:r w:rsidR="00C41972">
        <w:rPr>
          <w:rFonts w:ascii="Times New Roman" w:hAnsi="Times New Roman" w:cs="Times New Roman"/>
          <w:sz w:val="24"/>
          <w:szCs w:val="24"/>
          <w:lang w:val="en-US"/>
        </w:rPr>
        <w:t>, this cost would be</w:t>
      </w:r>
      <w:r w:rsidR="00462698">
        <w:rPr>
          <w:rFonts w:ascii="Times New Roman" w:hAnsi="Times New Roman" w:cs="Times New Roman"/>
          <w:sz w:val="24"/>
          <w:szCs w:val="24"/>
          <w:lang w:val="en-US"/>
        </w:rPr>
        <w:t xml:space="preserve"> $73</w:t>
      </w:r>
      <w:r>
        <w:rPr>
          <w:rFonts w:ascii="Times New Roman" w:hAnsi="Times New Roman" w:cs="Times New Roman"/>
          <w:sz w:val="24"/>
          <w:szCs w:val="24"/>
          <w:lang w:val="en-US"/>
        </w:rPr>
        <w:t xml:space="preserve">,000, which is below the threshold of $100,000.  So, lockdown would </w:t>
      </w:r>
      <w:r w:rsidR="009A55BC">
        <w:rPr>
          <w:rFonts w:ascii="Times New Roman" w:hAnsi="Times New Roman" w:cs="Times New Roman"/>
          <w:sz w:val="24"/>
          <w:szCs w:val="24"/>
          <w:lang w:val="en-US"/>
        </w:rPr>
        <w:t xml:space="preserve">then </w:t>
      </w:r>
      <w:r>
        <w:rPr>
          <w:rFonts w:ascii="Times New Roman" w:hAnsi="Times New Roman" w:cs="Times New Roman"/>
          <w:sz w:val="24"/>
          <w:szCs w:val="24"/>
          <w:lang w:val="en-US"/>
        </w:rPr>
        <w:t>be justified.  I</w:t>
      </w:r>
      <w:r w:rsidR="009A55BC">
        <w:rPr>
          <w:rFonts w:ascii="Times New Roman" w:hAnsi="Times New Roman" w:cs="Times New Roman"/>
          <w:sz w:val="24"/>
          <w:szCs w:val="24"/>
          <w:lang w:val="en-US"/>
        </w:rPr>
        <w:t>n fact, lockdown</w:t>
      </w:r>
      <w:r>
        <w:rPr>
          <w:rFonts w:ascii="Times New Roman" w:hAnsi="Times New Roman" w:cs="Times New Roman"/>
          <w:sz w:val="24"/>
          <w:szCs w:val="24"/>
          <w:lang w:val="en-US"/>
        </w:rPr>
        <w:t xml:space="preserve"> would be justified for any value of </w:t>
      </w:r>
      <w:r w:rsidRPr="003F0E6D">
        <w:rPr>
          <w:rFonts w:ascii="Times New Roman" w:hAnsi="Times New Roman" w:cs="Times New Roman"/>
          <w:i/>
          <w:sz w:val="24"/>
          <w:szCs w:val="24"/>
          <w:lang w:val="en-US"/>
        </w:rPr>
        <w:t>P</w:t>
      </w:r>
      <w:r w:rsidR="00DE47B3">
        <w:rPr>
          <w:rFonts w:ascii="Times New Roman" w:hAnsi="Times New Roman" w:cs="Times New Roman"/>
          <w:sz w:val="24"/>
          <w:szCs w:val="24"/>
          <w:lang w:val="en-US"/>
        </w:rPr>
        <w:t xml:space="preserve"> up to 0.11</w:t>
      </w:r>
      <w:r>
        <w:rPr>
          <w:rFonts w:ascii="Times New Roman" w:hAnsi="Times New Roman" w:cs="Times New Roman"/>
          <w:sz w:val="24"/>
          <w:szCs w:val="24"/>
          <w:lang w:val="en-US"/>
        </w:rPr>
        <w:t>, i</w:t>
      </w:r>
      <w:r w:rsidR="003F0E6D">
        <w:rPr>
          <w:rFonts w:ascii="Times New Roman" w:hAnsi="Times New Roman" w:cs="Times New Roman"/>
          <w:sz w:val="24"/>
          <w:szCs w:val="24"/>
          <w:lang w:val="en-US"/>
        </w:rPr>
        <w:t>.</w:t>
      </w:r>
      <w:r w:rsidR="009A55BC">
        <w:rPr>
          <w:rFonts w:ascii="Times New Roman" w:hAnsi="Times New Roman" w:cs="Times New Roman"/>
          <w:sz w:val="24"/>
          <w:szCs w:val="24"/>
          <w:lang w:val="en-US"/>
        </w:rPr>
        <w:t>e., a lockdown</w:t>
      </w:r>
      <w:r>
        <w:rPr>
          <w:rFonts w:ascii="Times New Roman" w:hAnsi="Times New Roman" w:cs="Times New Roman"/>
          <w:sz w:val="24"/>
          <w:szCs w:val="24"/>
          <w:lang w:val="en-US"/>
        </w:rPr>
        <w:t xml:space="preserve"> affect</w:t>
      </w:r>
      <w:r w:rsidR="00C41972">
        <w:rPr>
          <w:rFonts w:ascii="Times New Roman" w:hAnsi="Times New Roman" w:cs="Times New Roman"/>
          <w:sz w:val="24"/>
          <w:szCs w:val="24"/>
          <w:lang w:val="en-US"/>
        </w:rPr>
        <w:t>ing</w:t>
      </w:r>
      <w:r>
        <w:rPr>
          <w:rFonts w:ascii="Times New Roman" w:hAnsi="Times New Roman" w:cs="Times New Roman"/>
          <w:sz w:val="24"/>
          <w:szCs w:val="24"/>
          <w:lang w:val="en-US"/>
        </w:rPr>
        <w:t xml:space="preserve"> a part of the country generating up to </w:t>
      </w:r>
      <w:r w:rsidR="00462698">
        <w:rPr>
          <w:rFonts w:ascii="Times New Roman" w:hAnsi="Times New Roman" w:cs="Times New Roman"/>
          <w:sz w:val="24"/>
          <w:szCs w:val="24"/>
          <w:lang w:val="en-US"/>
        </w:rPr>
        <w:t>11</w:t>
      </w:r>
      <w:r w:rsidR="007B0A28">
        <w:rPr>
          <w:rFonts w:ascii="Times New Roman" w:hAnsi="Times New Roman" w:cs="Times New Roman"/>
          <w:sz w:val="24"/>
          <w:szCs w:val="24"/>
          <w:lang w:val="en-US"/>
        </w:rPr>
        <w:t xml:space="preserve">% </w:t>
      </w:r>
      <w:r>
        <w:rPr>
          <w:rFonts w:ascii="Times New Roman" w:hAnsi="Times New Roman" w:cs="Times New Roman"/>
          <w:sz w:val="24"/>
          <w:szCs w:val="24"/>
          <w:lang w:val="en-US"/>
        </w:rPr>
        <w:t>of GDP</w:t>
      </w:r>
      <w:r w:rsidR="00C41972">
        <w:rPr>
          <w:rFonts w:ascii="Times New Roman" w:hAnsi="Times New Roman" w:cs="Times New Roman"/>
          <w:sz w:val="24"/>
          <w:szCs w:val="24"/>
          <w:lang w:val="en-US"/>
        </w:rPr>
        <w:t xml:space="preserve"> would be warranted</w:t>
      </w:r>
      <w:r>
        <w:rPr>
          <w:rFonts w:ascii="Times New Roman" w:hAnsi="Times New Roman" w:cs="Times New Roman"/>
          <w:sz w:val="24"/>
          <w:szCs w:val="24"/>
          <w:lang w:val="en-US"/>
        </w:rPr>
        <w:t>.</w:t>
      </w:r>
    </w:p>
    <w:p w14:paraId="01100B9E" w14:textId="77777777" w:rsidR="00966DB6" w:rsidRDefault="00966DB6" w:rsidP="00F00CE2">
      <w:pPr>
        <w:spacing w:after="0" w:line="360" w:lineRule="auto"/>
        <w:jc w:val="both"/>
        <w:rPr>
          <w:rFonts w:ascii="Times New Roman" w:hAnsi="Times New Roman" w:cs="Times New Roman"/>
          <w:sz w:val="24"/>
          <w:szCs w:val="24"/>
          <w:lang w:val="en-US"/>
        </w:rPr>
      </w:pPr>
    </w:p>
    <w:p w14:paraId="5F9A6DA9" w14:textId="77777777" w:rsidR="00E81EBF" w:rsidRDefault="00966DB6" w:rsidP="00E81EB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analysis assumes that, if a lockdown occurs at some future point, only one such lockdown will be required before mass vaccination of the high-risk groups occurs.</w:t>
      </w:r>
      <w:r w:rsidR="00A1400C">
        <w:rPr>
          <w:rFonts w:ascii="Times New Roman" w:hAnsi="Times New Roman" w:cs="Times New Roman"/>
          <w:sz w:val="24"/>
          <w:szCs w:val="24"/>
          <w:lang w:val="en-US"/>
        </w:rPr>
        <w:t xml:space="preserve">  If</w:t>
      </w:r>
      <w:r w:rsidR="009A55BC">
        <w:rPr>
          <w:rFonts w:ascii="Times New Roman" w:hAnsi="Times New Roman" w:cs="Times New Roman"/>
          <w:sz w:val="24"/>
          <w:szCs w:val="24"/>
          <w:lang w:val="en-US"/>
        </w:rPr>
        <w:t xml:space="preserve"> more than one may be required, then the GDP </w:t>
      </w:r>
      <w:r w:rsidR="009808E8">
        <w:rPr>
          <w:rFonts w:ascii="Times New Roman" w:hAnsi="Times New Roman" w:cs="Times New Roman"/>
          <w:sz w:val="24"/>
          <w:szCs w:val="24"/>
          <w:lang w:val="en-US"/>
        </w:rPr>
        <w:t>loss</w:t>
      </w:r>
      <w:r w:rsidR="009A55BC">
        <w:rPr>
          <w:rFonts w:ascii="Times New Roman" w:hAnsi="Times New Roman" w:cs="Times New Roman"/>
          <w:sz w:val="24"/>
          <w:szCs w:val="24"/>
          <w:lang w:val="en-US"/>
        </w:rPr>
        <w:t xml:space="preserve"> of </w:t>
      </w:r>
      <w:r w:rsidR="009A55BC" w:rsidRPr="0084646F">
        <w:rPr>
          <w:rFonts w:ascii="Times New Roman" w:hAnsi="Times New Roman" w:cs="Times New Roman"/>
          <w:i/>
          <w:sz w:val="24"/>
          <w:szCs w:val="24"/>
          <w:lang w:val="en-US"/>
        </w:rPr>
        <w:t>P</w:t>
      </w:r>
      <w:r w:rsidR="00560216">
        <w:rPr>
          <w:rFonts w:ascii="Times New Roman" w:hAnsi="Times New Roman" w:cs="Times New Roman"/>
          <w:sz w:val="24"/>
          <w:szCs w:val="24"/>
          <w:lang w:val="en-US"/>
        </w:rPr>
        <w:t>$16</w:t>
      </w:r>
      <w:r w:rsidR="009A55BC">
        <w:rPr>
          <w:rFonts w:ascii="Times New Roman" w:hAnsi="Times New Roman" w:cs="Times New Roman"/>
          <w:sz w:val="24"/>
          <w:szCs w:val="24"/>
          <w:lang w:val="en-US"/>
        </w:rPr>
        <w:t xml:space="preserve">0b in the last equation would be increased.  For example, </w:t>
      </w:r>
      <w:r w:rsidR="00E81EBF">
        <w:rPr>
          <w:rFonts w:ascii="Times New Roman" w:hAnsi="Times New Roman" w:cs="Times New Roman"/>
          <w:sz w:val="24"/>
          <w:szCs w:val="24"/>
          <w:lang w:val="en-US"/>
        </w:rPr>
        <w:t>if there were a 50% probability of a second lockdown affecting the same proportion of the country, the last equation would become</w:t>
      </w:r>
    </w:p>
    <w:p w14:paraId="426DCE41" w14:textId="77777777" w:rsidR="00E81EBF" w:rsidRDefault="00E81EBF" w:rsidP="00E81EBF">
      <w:pPr>
        <w:spacing w:after="0" w:line="360" w:lineRule="auto"/>
        <w:jc w:val="both"/>
        <w:rPr>
          <w:rFonts w:ascii="Times New Roman" w:hAnsi="Times New Roman" w:cs="Times New Roman"/>
          <w:sz w:val="24"/>
          <w:szCs w:val="24"/>
          <w:lang w:val="en-US"/>
        </w:rPr>
      </w:pPr>
    </w:p>
    <w:p w14:paraId="098E5B19" w14:textId="77777777" w:rsidR="00E81EBF" w:rsidRDefault="00E81EBF" w:rsidP="00E81EBF">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P$160b(1.5)-$6.8b-$4.2b</m:t>
              </m:r>
            </m:num>
            <m:den>
              <m:r>
                <w:rPr>
                  <w:rFonts w:ascii="Cambria Math" w:hAnsi="Cambria Math" w:cs="Times New Roman"/>
                  <w:sz w:val="24"/>
                  <w:szCs w:val="24"/>
                  <w:lang w:val="en-US"/>
                </w:rPr>
                <m:t>68,000</m:t>
              </m:r>
            </m:den>
          </m:f>
        </m:oMath>
      </m:oMathPara>
    </w:p>
    <w:p w14:paraId="35498C80" w14:textId="77777777" w:rsidR="00E81EBF" w:rsidRDefault="00E81EBF" w:rsidP="00E81EBF">
      <w:pPr>
        <w:spacing w:after="0" w:line="360" w:lineRule="auto"/>
        <w:jc w:val="both"/>
        <w:rPr>
          <w:rFonts w:ascii="Times New Roman" w:hAnsi="Times New Roman" w:cs="Times New Roman"/>
          <w:sz w:val="24"/>
          <w:szCs w:val="24"/>
          <w:lang w:val="en-US"/>
        </w:rPr>
      </w:pPr>
    </w:p>
    <w:p w14:paraId="619FC9BD" w14:textId="77777777" w:rsidR="000646C2" w:rsidRDefault="00E81EBF" w:rsidP="000646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lockdown policy would only then be justified if </w:t>
      </w:r>
      <w:r w:rsidRPr="0084646F">
        <w:rPr>
          <w:rFonts w:ascii="Times New Roman" w:hAnsi="Times New Roman" w:cs="Times New Roman"/>
          <w:i/>
          <w:sz w:val="24"/>
          <w:szCs w:val="24"/>
          <w:lang w:val="en-US"/>
        </w:rPr>
        <w:t>P</w:t>
      </w:r>
      <w:r>
        <w:rPr>
          <w:rFonts w:ascii="Times New Roman" w:hAnsi="Times New Roman" w:cs="Times New Roman"/>
          <w:sz w:val="24"/>
          <w:szCs w:val="24"/>
          <w:lang w:val="en-US"/>
        </w:rPr>
        <w:t xml:space="preserve"> were less than </w:t>
      </w:r>
      <w:r w:rsidR="004F4774">
        <w:rPr>
          <w:rFonts w:ascii="Times New Roman" w:hAnsi="Times New Roman" w:cs="Times New Roman"/>
          <w:sz w:val="24"/>
          <w:szCs w:val="24"/>
          <w:lang w:val="en-US"/>
        </w:rPr>
        <w:t>0.07</w:t>
      </w:r>
      <w:r w:rsidR="0084646F">
        <w:rPr>
          <w:rFonts w:ascii="Times New Roman" w:hAnsi="Times New Roman" w:cs="Times New Roman"/>
          <w:sz w:val="24"/>
          <w:szCs w:val="24"/>
          <w:lang w:val="en-US"/>
        </w:rPr>
        <w:t>.</w:t>
      </w:r>
      <w:r w:rsidR="000646C2">
        <w:rPr>
          <w:rFonts w:ascii="Times New Roman" w:hAnsi="Times New Roman" w:cs="Times New Roman"/>
          <w:sz w:val="24"/>
          <w:szCs w:val="24"/>
          <w:lang w:val="en-US"/>
        </w:rPr>
        <w:t xml:space="preserve">  Alternatively, if there were a 50% probability of a second lockdown affecting the entire country, the last equation would become</w:t>
      </w:r>
    </w:p>
    <w:p w14:paraId="4A0B3D30" w14:textId="77777777" w:rsidR="000646C2" w:rsidRDefault="000646C2" w:rsidP="000646C2">
      <w:pPr>
        <w:spacing w:after="0" w:line="360" w:lineRule="auto"/>
        <w:jc w:val="both"/>
        <w:rPr>
          <w:rFonts w:ascii="Times New Roman" w:hAnsi="Times New Roman" w:cs="Times New Roman"/>
          <w:sz w:val="24"/>
          <w:szCs w:val="24"/>
          <w:lang w:val="en-US"/>
        </w:rPr>
      </w:pPr>
    </w:p>
    <w:p w14:paraId="2C373900" w14:textId="77777777" w:rsidR="000646C2" w:rsidRDefault="000646C2" w:rsidP="000646C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P$160b+$160b(0.5)-$6.8b-$4.2b</m:t>
              </m:r>
            </m:num>
            <m:den>
              <m:r>
                <w:rPr>
                  <w:rFonts w:ascii="Cambria Math" w:hAnsi="Cambria Math" w:cs="Times New Roman"/>
                  <w:sz w:val="24"/>
                  <w:szCs w:val="24"/>
                  <w:lang w:val="en-US"/>
                </w:rPr>
                <m:t>68,000</m:t>
              </m:r>
            </m:den>
          </m:f>
        </m:oMath>
      </m:oMathPara>
    </w:p>
    <w:p w14:paraId="5D927151" w14:textId="77777777" w:rsidR="000646C2" w:rsidRDefault="000646C2" w:rsidP="000646C2">
      <w:pPr>
        <w:spacing w:after="0" w:line="360" w:lineRule="auto"/>
        <w:jc w:val="both"/>
        <w:rPr>
          <w:rFonts w:ascii="Times New Roman" w:hAnsi="Times New Roman" w:cs="Times New Roman"/>
          <w:sz w:val="24"/>
          <w:szCs w:val="24"/>
          <w:lang w:val="en-US"/>
        </w:rPr>
      </w:pPr>
    </w:p>
    <w:p w14:paraId="561212BB" w14:textId="77777777" w:rsidR="00E81EBF" w:rsidRDefault="000646C2" w:rsidP="000646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lockdown policy would not </w:t>
      </w:r>
      <w:r w:rsidR="008112E1">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be justified for any value for </w:t>
      </w:r>
      <w:r w:rsidRPr="000646C2">
        <w:rPr>
          <w:rFonts w:ascii="Times New Roman" w:hAnsi="Times New Roman" w:cs="Times New Roman"/>
          <w:i/>
          <w:sz w:val="24"/>
          <w:szCs w:val="24"/>
          <w:lang w:val="en-US"/>
        </w:rPr>
        <w:t>P</w:t>
      </w:r>
      <w:r>
        <w:rPr>
          <w:rFonts w:ascii="Times New Roman" w:hAnsi="Times New Roman" w:cs="Times New Roman"/>
          <w:sz w:val="24"/>
          <w:szCs w:val="24"/>
          <w:lang w:val="en-US"/>
        </w:rPr>
        <w:t>.   All of this demonstrates that locking down only part of the country to contain an outbreak could seem attractive, but much less so if one allows for the possibility of future outbreaks.</w:t>
      </w:r>
    </w:p>
    <w:p w14:paraId="0E6575C4" w14:textId="77777777" w:rsidR="00654D56" w:rsidRDefault="00654D56" w:rsidP="000646C2">
      <w:pPr>
        <w:spacing w:after="0" w:line="360" w:lineRule="auto"/>
        <w:jc w:val="both"/>
        <w:rPr>
          <w:rFonts w:ascii="Times New Roman" w:hAnsi="Times New Roman" w:cs="Times New Roman"/>
          <w:sz w:val="24"/>
          <w:szCs w:val="24"/>
          <w:lang w:val="en-US"/>
        </w:rPr>
      </w:pPr>
    </w:p>
    <w:p w14:paraId="65638DE8" w14:textId="77777777" w:rsidR="00654D56" w:rsidRDefault="00654D56" w:rsidP="000646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the following is worth noting.  Should a new outbreak arise (at </w:t>
      </w:r>
      <w:r w:rsidR="00C812FE">
        <w:rPr>
          <w:rFonts w:ascii="Times New Roman" w:hAnsi="Times New Roman" w:cs="Times New Roman"/>
          <w:sz w:val="24"/>
          <w:szCs w:val="24"/>
          <w:lang w:val="en-US"/>
        </w:rPr>
        <w:t>some future time</w:t>
      </w:r>
      <w:r>
        <w:rPr>
          <w:rFonts w:ascii="Times New Roman" w:hAnsi="Times New Roman" w:cs="Times New Roman"/>
          <w:sz w:val="24"/>
          <w:szCs w:val="24"/>
          <w:lang w:val="en-US"/>
        </w:rPr>
        <w:t xml:space="preserve">), </w:t>
      </w:r>
      <w:r w:rsidR="00AC15F4">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as </w:t>
      </w:r>
      <w:r w:rsidR="00C812FE">
        <w:rPr>
          <w:rFonts w:ascii="Times New Roman" w:hAnsi="Times New Roman" w:cs="Times New Roman"/>
          <w:sz w:val="24"/>
          <w:szCs w:val="24"/>
          <w:lang w:val="en-US"/>
        </w:rPr>
        <w:t>this point in time moves further into the future</w:t>
      </w:r>
      <w:r>
        <w:rPr>
          <w:rFonts w:ascii="Times New Roman" w:hAnsi="Times New Roman" w:cs="Times New Roman"/>
          <w:sz w:val="24"/>
          <w:szCs w:val="24"/>
          <w:lang w:val="en-US"/>
        </w:rPr>
        <w:t>, the period over which the additional deaths from mitigation rather than lockdown</w:t>
      </w:r>
      <w:r w:rsidR="00AC15F4">
        <w:rPr>
          <w:rFonts w:ascii="Times New Roman" w:hAnsi="Times New Roman" w:cs="Times New Roman"/>
          <w:sz w:val="24"/>
          <w:szCs w:val="24"/>
          <w:lang w:val="en-US"/>
        </w:rPr>
        <w:t xml:space="preserve"> will arise (from </w:t>
      </w:r>
      <w:r w:rsidR="00C812FE">
        <w:rPr>
          <w:rFonts w:ascii="Times New Roman" w:hAnsi="Times New Roman" w:cs="Times New Roman"/>
          <w:sz w:val="24"/>
          <w:szCs w:val="24"/>
          <w:lang w:val="en-US"/>
        </w:rPr>
        <w:t xml:space="preserve">this future point in time </w:t>
      </w:r>
      <w:r w:rsidR="00AC15F4">
        <w:rPr>
          <w:rFonts w:ascii="Times New Roman" w:hAnsi="Times New Roman" w:cs="Times New Roman"/>
          <w:sz w:val="24"/>
          <w:szCs w:val="24"/>
          <w:lang w:val="en-US"/>
        </w:rPr>
        <w:t xml:space="preserve">until mass vaccination of high-risk groups is completed) shrinks.  Accordingly, the additional death toll </w:t>
      </w:r>
      <w:r w:rsidR="00C812FE">
        <w:rPr>
          <w:rFonts w:ascii="Times New Roman" w:hAnsi="Times New Roman" w:cs="Times New Roman"/>
          <w:sz w:val="24"/>
          <w:szCs w:val="24"/>
          <w:lang w:val="en-US"/>
        </w:rPr>
        <w:t>from mitigation will fall.  This will tilt the decision even more strongly towards mitigation.</w:t>
      </w:r>
    </w:p>
    <w:p w14:paraId="3747F5D7" w14:textId="77777777" w:rsidR="0093706D" w:rsidRDefault="0093706D" w:rsidP="00F00CE2">
      <w:pPr>
        <w:spacing w:after="0" w:line="360" w:lineRule="auto"/>
        <w:jc w:val="both"/>
        <w:rPr>
          <w:rFonts w:ascii="Times New Roman" w:hAnsi="Times New Roman" w:cs="Times New Roman"/>
          <w:sz w:val="24"/>
          <w:szCs w:val="24"/>
          <w:lang w:val="en-US"/>
        </w:rPr>
      </w:pPr>
    </w:p>
    <w:p w14:paraId="5EAF1CE9" w14:textId="77777777" w:rsidR="003F136A" w:rsidRDefault="003F136A" w:rsidP="00060568">
      <w:pPr>
        <w:pStyle w:val="ListParagraph"/>
        <w:numPr>
          <w:ilvl w:val="0"/>
          <w:numId w:val="9"/>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14:paraId="7EF4EE62" w14:textId="77777777" w:rsidR="003F136A" w:rsidRDefault="003F136A" w:rsidP="003F136A">
      <w:pPr>
        <w:spacing w:after="0" w:line="360" w:lineRule="auto"/>
        <w:jc w:val="both"/>
        <w:rPr>
          <w:rFonts w:ascii="Times New Roman" w:hAnsi="Times New Roman" w:cs="Times New Roman"/>
          <w:b/>
          <w:sz w:val="24"/>
          <w:szCs w:val="24"/>
          <w:lang w:val="en-US"/>
        </w:rPr>
      </w:pPr>
    </w:p>
    <w:p w14:paraId="156A1A58" w14:textId="77777777" w:rsidR="006029BD" w:rsidRDefault="006029BD" w:rsidP="006029B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has considered the costs and benefits of Australia’s lockdown strategy relative to pursuit of a mitigation strategy in March 2020.  The estimate is 4,000 - 17,000 additional deaths to 30 December 2020 from mitigation, plus further deaths over the next several months until mass vaccination of high-risk groups will be achieved.  The result is that the cost per Quality Adjusted Life Year saved by locking down is estimated to be at least 11 times the generally employed figure of $100,000 for health interventions in Australia.  Consideration of the information available to the Australian government in March 2020 </w:t>
      </w:r>
      <w:r w:rsidR="004F3B52">
        <w:rPr>
          <w:rFonts w:ascii="Times New Roman" w:hAnsi="Times New Roman" w:cs="Times New Roman"/>
          <w:sz w:val="24"/>
          <w:szCs w:val="24"/>
          <w:lang w:val="en-US"/>
        </w:rPr>
        <w:t xml:space="preserve">yields a similar ratio and therefore strongly supported adoption of </w:t>
      </w:r>
      <w:r>
        <w:rPr>
          <w:rFonts w:ascii="Times New Roman" w:hAnsi="Times New Roman" w:cs="Times New Roman"/>
          <w:sz w:val="24"/>
          <w:szCs w:val="24"/>
          <w:lang w:val="en-US"/>
        </w:rPr>
        <w:t>a mitigation strategy</w:t>
      </w:r>
      <w:r w:rsidR="004F3B52">
        <w:rPr>
          <w:rFonts w:ascii="Times New Roman" w:hAnsi="Times New Roman" w:cs="Times New Roman"/>
          <w:sz w:val="24"/>
          <w:szCs w:val="24"/>
          <w:lang w:val="en-US"/>
        </w:rPr>
        <w:t xml:space="preserve"> at that time</w:t>
      </w:r>
      <w:r>
        <w:rPr>
          <w:rFonts w:ascii="Times New Roman" w:hAnsi="Times New Roman" w:cs="Times New Roman"/>
          <w:sz w:val="24"/>
          <w:szCs w:val="24"/>
          <w:lang w:val="en-US"/>
        </w:rPr>
        <w:t xml:space="preserve">.  If Australia experiences a new outbreak, and cannot contain it without resort to nationwide lockdowns, the death toll from adopting a mitigation strategy at this point would be even less than had it done so in March 2020, because the period over which the virus would then inflict casualties would now be much less than the period from March 2020.  This would favour a mitigation policy even more strongly than in March 2020.  </w:t>
      </w:r>
    </w:p>
    <w:p w14:paraId="22815572" w14:textId="77777777" w:rsidR="00353D25" w:rsidRDefault="009125D9" w:rsidP="00353D25">
      <w:p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br w:type="page"/>
      </w:r>
      <w:r w:rsidR="00353D25">
        <w:rPr>
          <w:rFonts w:ascii="Times New Roman" w:hAnsi="Times New Roman" w:cs="Times New Roman"/>
          <w:b/>
          <w:sz w:val="24"/>
          <w:szCs w:val="24"/>
          <w:lang w:val="en-US"/>
        </w:rPr>
        <w:lastRenderedPageBreak/>
        <w:t>APPENDIX 1</w:t>
      </w:r>
    </w:p>
    <w:p w14:paraId="56B7C816" w14:textId="77777777" w:rsidR="00353D25" w:rsidRDefault="00353D25" w:rsidP="00353D25">
      <w:pPr>
        <w:spacing w:after="0" w:line="360" w:lineRule="auto"/>
        <w:jc w:val="both"/>
        <w:rPr>
          <w:rFonts w:ascii="Times New Roman" w:hAnsi="Times New Roman" w:cs="Times New Roman"/>
          <w:sz w:val="24"/>
          <w:szCs w:val="24"/>
          <w:lang w:val="en-US"/>
        </w:rPr>
      </w:pPr>
    </w:p>
    <w:p w14:paraId="6383CD61"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Appendix </w:t>
      </w:r>
      <w:r w:rsidR="007C2CAB">
        <w:rPr>
          <w:rFonts w:ascii="Times New Roman" w:hAnsi="Times New Roman" w:cs="Times New Roman"/>
          <w:sz w:val="24"/>
          <w:szCs w:val="24"/>
          <w:lang w:val="en-US"/>
        </w:rPr>
        <w:t xml:space="preserve">examines the possibility of reverse causality in </w:t>
      </w:r>
      <w:r w:rsidR="009841E0">
        <w:rPr>
          <w:rFonts w:ascii="Times New Roman" w:hAnsi="Times New Roman" w:cs="Times New Roman"/>
          <w:sz w:val="24"/>
          <w:szCs w:val="24"/>
          <w:lang w:val="en-US"/>
        </w:rPr>
        <w:t>equation (1)</w:t>
      </w:r>
      <w:r w:rsidR="007C2CAB">
        <w:rPr>
          <w:rFonts w:ascii="Times New Roman" w:hAnsi="Times New Roman" w:cs="Times New Roman"/>
          <w:sz w:val="24"/>
          <w:szCs w:val="24"/>
          <w:lang w:val="en-US"/>
        </w:rPr>
        <w:t xml:space="preserve">, i.e., causality </w:t>
      </w:r>
      <w:r>
        <w:rPr>
          <w:rFonts w:ascii="Times New Roman" w:hAnsi="Times New Roman" w:cs="Times New Roman"/>
          <w:sz w:val="24"/>
          <w:szCs w:val="24"/>
          <w:lang w:val="en-US"/>
        </w:rPr>
        <w:t xml:space="preserve">runs from </w:t>
      </w:r>
      <w:r w:rsidRPr="00BB19A2">
        <w:rPr>
          <w:rFonts w:ascii="Times New Roman" w:hAnsi="Times New Roman" w:cs="Times New Roman"/>
          <w:i/>
          <w:sz w:val="24"/>
          <w:szCs w:val="24"/>
          <w:lang w:val="en-US"/>
        </w:rPr>
        <w:t>D</w:t>
      </w:r>
      <w:r>
        <w:rPr>
          <w:rFonts w:ascii="Times New Roman" w:hAnsi="Times New Roman" w:cs="Times New Roman"/>
          <w:sz w:val="24"/>
          <w:szCs w:val="24"/>
          <w:lang w:val="en-US"/>
        </w:rPr>
        <w:t xml:space="preserve"> to </w:t>
      </w:r>
      <w:r w:rsidRPr="00BB19A2">
        <w:rPr>
          <w:rFonts w:ascii="Times New Roman" w:hAnsi="Times New Roman" w:cs="Times New Roman"/>
          <w:i/>
          <w:sz w:val="24"/>
          <w:szCs w:val="24"/>
          <w:lang w:val="en-US"/>
        </w:rPr>
        <w:t>S</w:t>
      </w:r>
      <w:r>
        <w:rPr>
          <w:rFonts w:ascii="Times New Roman" w:hAnsi="Times New Roman" w:cs="Times New Roman"/>
          <w:sz w:val="24"/>
          <w:szCs w:val="24"/>
          <w:lang w:val="en-US"/>
        </w:rPr>
        <w:t xml:space="preserve"> (as well as </w:t>
      </w:r>
      <w:r w:rsidRPr="00BB19A2">
        <w:rPr>
          <w:rFonts w:ascii="Times New Roman" w:hAnsi="Times New Roman" w:cs="Times New Roman"/>
          <w:i/>
          <w:sz w:val="24"/>
          <w:szCs w:val="24"/>
          <w:lang w:val="en-US"/>
        </w:rPr>
        <w:t>S</w:t>
      </w:r>
      <w:r>
        <w:rPr>
          <w:rFonts w:ascii="Times New Roman" w:hAnsi="Times New Roman" w:cs="Times New Roman"/>
          <w:sz w:val="24"/>
          <w:szCs w:val="24"/>
          <w:lang w:val="en-US"/>
        </w:rPr>
        <w:t xml:space="preserve"> to </w:t>
      </w:r>
      <w:r w:rsidRPr="00BB19A2">
        <w:rPr>
          <w:rFonts w:ascii="Times New Roman" w:hAnsi="Times New Roman" w:cs="Times New Roman"/>
          <w:i/>
          <w:sz w:val="24"/>
          <w:szCs w:val="24"/>
          <w:lang w:val="en-US"/>
        </w:rPr>
        <w:t>D</w:t>
      </w:r>
      <w:r>
        <w:rPr>
          <w:rFonts w:ascii="Times New Roman" w:hAnsi="Times New Roman" w:cs="Times New Roman"/>
          <w:sz w:val="24"/>
          <w:szCs w:val="24"/>
          <w:lang w:val="en-US"/>
        </w:rPr>
        <w:t>), because</w:t>
      </w:r>
    </w:p>
    <w:p w14:paraId="526AF6D3" w14:textId="77777777" w:rsidR="00353D25" w:rsidRDefault="00353D25" w:rsidP="00353D25">
      <w:pPr>
        <w:pStyle w:val="ListParagraph"/>
        <w:numPr>
          <w:ilvl w:val="0"/>
          <w:numId w:val="4"/>
        </w:numPr>
        <w:spacing w:after="0" w:line="360" w:lineRule="auto"/>
        <w:jc w:val="both"/>
        <w:rPr>
          <w:rFonts w:ascii="Times New Roman" w:hAnsi="Times New Roman" w:cs="Times New Roman"/>
          <w:sz w:val="24"/>
          <w:szCs w:val="24"/>
          <w:lang w:val="en-US"/>
        </w:rPr>
      </w:pPr>
      <w:r w:rsidRPr="00D439BF">
        <w:rPr>
          <w:rFonts w:ascii="Times New Roman" w:hAnsi="Times New Roman" w:cs="Times New Roman"/>
          <w:sz w:val="24"/>
          <w:szCs w:val="24"/>
          <w:lang w:val="en-US"/>
        </w:rPr>
        <w:t xml:space="preserve">some governments chose their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value </w:t>
      </w:r>
      <w:r>
        <w:rPr>
          <w:rFonts w:ascii="Times New Roman" w:hAnsi="Times New Roman" w:cs="Times New Roman"/>
          <w:sz w:val="24"/>
          <w:szCs w:val="24"/>
          <w:lang w:val="en-US"/>
        </w:rPr>
        <w:t xml:space="preserve">at the commencement of the crisis based upon </w:t>
      </w:r>
      <w:r w:rsidRPr="00D439BF">
        <w:rPr>
          <w:rFonts w:ascii="Times New Roman" w:hAnsi="Times New Roman" w:cs="Times New Roman"/>
          <w:sz w:val="24"/>
          <w:szCs w:val="24"/>
          <w:lang w:val="en-US"/>
        </w:rPr>
        <w:t xml:space="preserve">their predictions of </w:t>
      </w:r>
      <w:r w:rsidRPr="00D439BF">
        <w:rPr>
          <w:rFonts w:ascii="Times New Roman" w:hAnsi="Times New Roman" w:cs="Times New Roman"/>
          <w:i/>
          <w:sz w:val="24"/>
          <w:szCs w:val="24"/>
          <w:lang w:val="en-US"/>
        </w:rPr>
        <w:t>D</w:t>
      </w:r>
      <w:r w:rsidRPr="00D439BF">
        <w:rPr>
          <w:rFonts w:ascii="Times New Roman" w:hAnsi="Times New Roman" w:cs="Times New Roman"/>
          <w:sz w:val="24"/>
          <w:szCs w:val="24"/>
          <w:lang w:val="en-US"/>
        </w:rPr>
        <w:t xml:space="preserve"> under both low and high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scenarios</w:t>
      </w:r>
      <w:r>
        <w:rPr>
          <w:rFonts w:ascii="Times New Roman" w:hAnsi="Times New Roman" w:cs="Times New Roman"/>
          <w:sz w:val="24"/>
          <w:szCs w:val="24"/>
          <w:lang w:val="en-US"/>
        </w:rPr>
        <w:t>, and/or</w:t>
      </w:r>
    </w:p>
    <w:p w14:paraId="6C8BEEC4" w14:textId="77777777" w:rsidR="00353D25" w:rsidRDefault="00353D25" w:rsidP="00353D25">
      <w:pPr>
        <w:pStyle w:val="ListParagraph"/>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governments chose their </w:t>
      </w:r>
      <w:r w:rsidRPr="00D439BF">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based upon their observation of their country’s death rate in the early stages of the crisis</w:t>
      </w:r>
      <w:r w:rsidRPr="00D439BF">
        <w:rPr>
          <w:rFonts w:ascii="Times New Roman" w:hAnsi="Times New Roman" w:cs="Times New Roman"/>
          <w:sz w:val="24"/>
          <w:szCs w:val="24"/>
          <w:lang w:val="en-US"/>
        </w:rPr>
        <w:t xml:space="preserve">.  </w:t>
      </w:r>
    </w:p>
    <w:p w14:paraId="4F53C78B" w14:textId="77777777" w:rsidR="00353D25" w:rsidRDefault="00353D25" w:rsidP="00353D25">
      <w:pPr>
        <w:pStyle w:val="ListParagraph"/>
        <w:spacing w:after="0" w:line="360" w:lineRule="auto"/>
        <w:ind w:left="0"/>
        <w:jc w:val="both"/>
        <w:rPr>
          <w:rFonts w:ascii="Times New Roman" w:hAnsi="Times New Roman" w:cs="Times New Roman"/>
          <w:sz w:val="24"/>
          <w:szCs w:val="24"/>
          <w:lang w:val="en-US"/>
        </w:rPr>
      </w:pPr>
      <w:r w:rsidRPr="00D439BF">
        <w:rPr>
          <w:rFonts w:ascii="Times New Roman" w:hAnsi="Times New Roman" w:cs="Times New Roman"/>
          <w:sz w:val="24"/>
          <w:szCs w:val="24"/>
          <w:lang w:val="en-US"/>
        </w:rPr>
        <w:t xml:space="preserve">If </w:t>
      </w:r>
      <w:r>
        <w:rPr>
          <w:rFonts w:ascii="Times New Roman" w:hAnsi="Times New Roman" w:cs="Times New Roman"/>
          <w:sz w:val="24"/>
          <w:szCs w:val="24"/>
          <w:lang w:val="en-US"/>
        </w:rPr>
        <w:t>either of these is true</w:t>
      </w:r>
      <w:r w:rsidRPr="00D439BF">
        <w:rPr>
          <w:rFonts w:ascii="Times New Roman" w:hAnsi="Times New Roman" w:cs="Times New Roman"/>
          <w:sz w:val="24"/>
          <w:szCs w:val="24"/>
          <w:lang w:val="en-US"/>
        </w:rPr>
        <w:t xml:space="preserve">, the estimated coefficient on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w:t>
      </w:r>
      <w:r w:rsidR="00B72481">
        <w:rPr>
          <w:rFonts w:ascii="Times New Roman" w:hAnsi="Times New Roman" w:cs="Times New Roman"/>
          <w:sz w:val="24"/>
          <w:szCs w:val="24"/>
          <w:lang w:val="en-US"/>
        </w:rPr>
        <w:t>in equation (1</w:t>
      </w:r>
      <w:r w:rsidRPr="00D439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may </w:t>
      </w:r>
      <w:r w:rsidRPr="00D439BF">
        <w:rPr>
          <w:rFonts w:ascii="Times New Roman" w:hAnsi="Times New Roman" w:cs="Times New Roman"/>
          <w:sz w:val="24"/>
          <w:szCs w:val="24"/>
          <w:lang w:val="en-US"/>
        </w:rPr>
        <w:t xml:space="preserve">be biased.  The traditional method of dealing with this is to use an “instrumental variable”, but no good candidates are apparent.  I therefore enquire into the extent of </w:t>
      </w:r>
      <w:r>
        <w:rPr>
          <w:rFonts w:ascii="Times New Roman" w:hAnsi="Times New Roman" w:cs="Times New Roman"/>
          <w:sz w:val="24"/>
          <w:szCs w:val="24"/>
          <w:lang w:val="en-US"/>
        </w:rPr>
        <w:t xml:space="preserve">these </w:t>
      </w:r>
      <w:r w:rsidRPr="00D439BF">
        <w:rPr>
          <w:rFonts w:ascii="Times New Roman" w:hAnsi="Times New Roman" w:cs="Times New Roman"/>
          <w:sz w:val="24"/>
          <w:szCs w:val="24"/>
          <w:lang w:val="en-US"/>
        </w:rPr>
        <w:t>problem</w:t>
      </w:r>
      <w:r>
        <w:rPr>
          <w:rFonts w:ascii="Times New Roman" w:hAnsi="Times New Roman" w:cs="Times New Roman"/>
          <w:sz w:val="24"/>
          <w:szCs w:val="24"/>
          <w:lang w:val="en-US"/>
        </w:rPr>
        <w:t>s</w:t>
      </w:r>
      <w:r w:rsidRPr="00D439BF">
        <w:rPr>
          <w:rFonts w:ascii="Times New Roman" w:hAnsi="Times New Roman" w:cs="Times New Roman"/>
          <w:sz w:val="24"/>
          <w:szCs w:val="24"/>
          <w:lang w:val="en-US"/>
        </w:rPr>
        <w:t xml:space="preserve">.  </w:t>
      </w:r>
    </w:p>
    <w:p w14:paraId="5C1B0087" w14:textId="77777777" w:rsidR="00353D25" w:rsidRDefault="00353D25" w:rsidP="00353D25">
      <w:pPr>
        <w:pStyle w:val="ListParagraph"/>
        <w:spacing w:after="0" w:line="360" w:lineRule="auto"/>
        <w:ind w:left="0"/>
        <w:jc w:val="both"/>
        <w:rPr>
          <w:rFonts w:ascii="Times New Roman" w:hAnsi="Times New Roman" w:cs="Times New Roman"/>
          <w:sz w:val="24"/>
          <w:szCs w:val="24"/>
          <w:lang w:val="en-US"/>
        </w:rPr>
      </w:pPr>
    </w:p>
    <w:p w14:paraId="12F01D80" w14:textId="77777777" w:rsidR="00353D25" w:rsidRPr="00D439BF" w:rsidRDefault="00353D25" w:rsidP="00353D25">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the first possible problem, I will focus upon the death rates </w:t>
      </w:r>
      <w:r w:rsidRPr="00D439BF">
        <w:rPr>
          <w:rFonts w:ascii="Times New Roman" w:hAnsi="Times New Roman" w:cs="Times New Roman"/>
          <w:sz w:val="24"/>
          <w:szCs w:val="24"/>
          <w:lang w:val="en-US"/>
        </w:rPr>
        <w:t>under mitigation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 50) and extreme lockdown (</w:t>
      </w:r>
      <w:r w:rsidRPr="00D439BF">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S</w:t>
      </w:r>
      <w:r w:rsidRPr="00D439BF">
        <w:rPr>
          <w:rFonts w:ascii="Times New Roman" w:hAnsi="Times New Roman" w:cs="Times New Roman"/>
          <w:sz w:val="24"/>
          <w:szCs w:val="24"/>
          <w:lang w:val="en-US"/>
        </w:rPr>
        <w:t xml:space="preserve">uppose </w:t>
      </w:r>
      <w:r>
        <w:rPr>
          <w:rFonts w:ascii="Times New Roman" w:hAnsi="Times New Roman" w:cs="Times New Roman"/>
          <w:sz w:val="24"/>
          <w:szCs w:val="24"/>
          <w:lang w:val="en-US"/>
        </w:rPr>
        <w:t xml:space="preserve">that </w:t>
      </w:r>
      <w:r w:rsidRPr="00D439BF">
        <w:rPr>
          <w:rFonts w:ascii="Times New Roman" w:hAnsi="Times New Roman" w:cs="Times New Roman"/>
          <w:sz w:val="24"/>
          <w:szCs w:val="24"/>
          <w:lang w:val="en-US"/>
        </w:rPr>
        <w:t xml:space="preserve">there are two types of countries (A and B) whose governments held the </w:t>
      </w:r>
      <w:r>
        <w:rPr>
          <w:rFonts w:ascii="Times New Roman" w:hAnsi="Times New Roman" w:cs="Times New Roman"/>
          <w:sz w:val="24"/>
          <w:szCs w:val="24"/>
          <w:lang w:val="en-US"/>
        </w:rPr>
        <w:t>views shown in Table 6</w:t>
      </w:r>
      <w:r w:rsidRPr="00D439BF">
        <w:rPr>
          <w:rFonts w:ascii="Times New Roman" w:hAnsi="Times New Roman" w:cs="Times New Roman"/>
          <w:sz w:val="24"/>
          <w:szCs w:val="24"/>
          <w:lang w:val="en-US"/>
        </w:rPr>
        <w:t xml:space="preserve"> (at the commencement of the crisis) about expected death rates under mitigation </w:t>
      </w:r>
      <w:r>
        <w:rPr>
          <w:rFonts w:ascii="Times New Roman" w:hAnsi="Times New Roman" w:cs="Times New Roman"/>
          <w:sz w:val="24"/>
          <w:szCs w:val="24"/>
          <w:lang w:val="en-US"/>
        </w:rPr>
        <w:t>and extreme lockdown</w:t>
      </w:r>
      <w:r w:rsidRPr="00D439BF">
        <w:rPr>
          <w:rFonts w:ascii="Times New Roman" w:hAnsi="Times New Roman" w:cs="Times New Roman"/>
          <w:sz w:val="24"/>
          <w:szCs w:val="24"/>
          <w:lang w:val="en-US"/>
        </w:rPr>
        <w:t>.</w:t>
      </w:r>
    </w:p>
    <w:p w14:paraId="20A884E7" w14:textId="77777777" w:rsidR="00353D25" w:rsidRDefault="00353D25" w:rsidP="00353D25">
      <w:pPr>
        <w:spacing w:after="0" w:line="360" w:lineRule="auto"/>
        <w:jc w:val="both"/>
        <w:rPr>
          <w:rFonts w:ascii="Times New Roman" w:hAnsi="Times New Roman" w:cs="Times New Roman"/>
          <w:sz w:val="24"/>
          <w:szCs w:val="24"/>
          <w:lang w:val="en-US"/>
        </w:rPr>
      </w:pPr>
    </w:p>
    <w:p w14:paraId="7BFF5DBE" w14:textId="77777777" w:rsidR="00353D25" w:rsidRDefault="00353D25" w:rsidP="00353D2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6: Expected Death Rates under Various Scenarios</w:t>
      </w:r>
    </w:p>
    <w:p w14:paraId="0EBC3B56"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663D08B7" w14:textId="77777777" w:rsidR="00353D25" w:rsidRDefault="00353D25" w:rsidP="00353D25">
      <w:pPr>
        <w:tabs>
          <w:tab w:val="left" w:pos="4536"/>
          <w:tab w:val="left" w:pos="652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50</w:t>
      </w: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w:t>
      </w:r>
    </w:p>
    <w:p w14:paraId="4E843058" w14:textId="77777777" w:rsidR="00353D25" w:rsidRDefault="00353D25" w:rsidP="00353D25">
      <w:pPr>
        <w:tabs>
          <w:tab w:val="left" w:pos="4536"/>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403F6DF8" w14:textId="77777777" w:rsidR="00353D25" w:rsidRDefault="00353D25" w:rsidP="00353D25">
      <w:pPr>
        <w:tabs>
          <w:tab w:val="left" w:pos="1701"/>
          <w:tab w:val="left" w:pos="4536"/>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A</w:t>
      </w:r>
      <w:r>
        <w:rPr>
          <w:rFonts w:ascii="Times New Roman" w:hAnsi="Times New Roman" w:cs="Times New Roman"/>
          <w:sz w:val="24"/>
          <w:szCs w:val="24"/>
          <w:lang w:val="en-US"/>
        </w:rPr>
        <w:tab/>
        <w:t>2,040</w:t>
      </w:r>
      <w:r>
        <w:rPr>
          <w:rFonts w:ascii="Times New Roman" w:hAnsi="Times New Roman" w:cs="Times New Roman"/>
          <w:sz w:val="24"/>
          <w:szCs w:val="24"/>
          <w:lang w:val="en-US"/>
        </w:rPr>
        <w:tab/>
        <w:t>170</w:t>
      </w:r>
    </w:p>
    <w:p w14:paraId="5C6AA04E" w14:textId="77777777" w:rsidR="00353D25" w:rsidRDefault="00353D25" w:rsidP="00353D25">
      <w:pPr>
        <w:tabs>
          <w:tab w:val="left" w:pos="1701"/>
          <w:tab w:val="left" w:pos="4678"/>
          <w:tab w:val="left" w:pos="666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B</w:t>
      </w:r>
      <w:r>
        <w:rPr>
          <w:rFonts w:ascii="Times New Roman" w:hAnsi="Times New Roman" w:cs="Times New Roman"/>
          <w:sz w:val="24"/>
          <w:szCs w:val="24"/>
          <w:lang w:val="en-US"/>
        </w:rPr>
        <w:tab/>
        <w:t>250</w:t>
      </w:r>
      <w:r>
        <w:rPr>
          <w:rFonts w:ascii="Times New Roman" w:hAnsi="Times New Roman" w:cs="Times New Roman"/>
          <w:sz w:val="24"/>
          <w:szCs w:val="24"/>
          <w:lang w:val="en-US"/>
        </w:rPr>
        <w:tab/>
        <w:t>&lt; 170</w:t>
      </w:r>
    </w:p>
    <w:p w14:paraId="0194A8AE"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14:paraId="3F17D49B" w14:textId="77777777" w:rsidR="00353D25" w:rsidRDefault="00353D25" w:rsidP="00353D25">
      <w:pPr>
        <w:spacing w:after="0" w:line="360" w:lineRule="auto"/>
        <w:jc w:val="both"/>
        <w:rPr>
          <w:rFonts w:ascii="Times New Roman" w:hAnsi="Times New Roman" w:cs="Times New Roman"/>
          <w:sz w:val="24"/>
          <w:szCs w:val="24"/>
          <w:lang w:val="en-US"/>
        </w:rPr>
      </w:pPr>
    </w:p>
    <w:p w14:paraId="10441D66" w14:textId="77777777" w:rsidR="00353D25" w:rsidRDefault="004B6600"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a regression like equation (1) yielded a coefficient on </w:t>
      </w:r>
      <w:r w:rsidRPr="004B6600">
        <w:rPr>
          <w:rFonts w:ascii="Times New Roman" w:hAnsi="Times New Roman" w:cs="Times New Roman"/>
          <w:i/>
          <w:sz w:val="24"/>
          <w:szCs w:val="24"/>
          <w:lang w:val="en-US"/>
        </w:rPr>
        <w:t>S</w:t>
      </w:r>
      <w:r>
        <w:rPr>
          <w:rFonts w:ascii="Times New Roman" w:hAnsi="Times New Roman" w:cs="Times New Roman"/>
          <w:sz w:val="24"/>
          <w:szCs w:val="24"/>
          <w:lang w:val="en-US"/>
        </w:rPr>
        <w:t xml:space="preserve"> of -1.6, and death rates for </w:t>
      </w:r>
      <w:r w:rsidRPr="004B6600">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and </w:t>
      </w:r>
      <w:r w:rsidRPr="004B6600">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of 250 and 170 respectively.  These latter numbers are used in Table 6</w:t>
      </w:r>
      <w:r w:rsidR="00353D25">
        <w:rPr>
          <w:rFonts w:ascii="Times New Roman" w:hAnsi="Times New Roman" w:cs="Times New Roman"/>
          <w:sz w:val="24"/>
          <w:szCs w:val="24"/>
          <w:lang w:val="en-US"/>
        </w:rPr>
        <w:t xml:space="preserve">.  The death rate for type A countries under mitigation (2,040) is 12 times that of their death rate under extreme lockdown, with the multiple reflecting the predictions of Ferguson et al (2020) for the UK, i.e., 20,000 deaths under suppression (which is 300 per 1m of the UK’s population of 68m) and 250,000 deaths under mitigation (which is 3,700 per 1m of the UK’s population).  Type A countries chose </w:t>
      </w:r>
      <w:r w:rsidR="00353D25" w:rsidRPr="00F4307A">
        <w:rPr>
          <w:rFonts w:ascii="Times New Roman" w:hAnsi="Times New Roman" w:cs="Times New Roman"/>
          <w:i/>
          <w:sz w:val="24"/>
          <w:szCs w:val="24"/>
          <w:lang w:val="en-US"/>
        </w:rPr>
        <w:t>S</w:t>
      </w:r>
      <w:r w:rsidR="00353D25">
        <w:rPr>
          <w:rFonts w:ascii="Times New Roman" w:hAnsi="Times New Roman" w:cs="Times New Roman"/>
          <w:sz w:val="24"/>
          <w:szCs w:val="24"/>
          <w:lang w:val="en-US"/>
        </w:rPr>
        <w:t xml:space="preserve"> = 100 because the expected death rate is unacceptably high with </w:t>
      </w:r>
      <w:r w:rsidR="00353D25" w:rsidRPr="003F34D6">
        <w:rPr>
          <w:rFonts w:ascii="Times New Roman" w:hAnsi="Times New Roman" w:cs="Times New Roman"/>
          <w:i/>
          <w:sz w:val="24"/>
          <w:szCs w:val="24"/>
          <w:lang w:val="en-US"/>
        </w:rPr>
        <w:t>S</w:t>
      </w:r>
      <w:r w:rsidR="00353D25">
        <w:rPr>
          <w:rFonts w:ascii="Times New Roman" w:hAnsi="Times New Roman" w:cs="Times New Roman"/>
          <w:sz w:val="24"/>
          <w:szCs w:val="24"/>
          <w:lang w:val="en-US"/>
        </w:rPr>
        <w:t xml:space="preserve"> = 50.  Type B countries have much lower expected death rates than type A countries under both mitigation and extreme lockdown, and chose </w:t>
      </w:r>
      <w:r w:rsidR="00353D25" w:rsidRPr="003F34D6">
        <w:rPr>
          <w:rFonts w:ascii="Times New Roman" w:hAnsi="Times New Roman" w:cs="Times New Roman"/>
          <w:i/>
          <w:sz w:val="24"/>
          <w:szCs w:val="24"/>
          <w:lang w:val="en-US"/>
        </w:rPr>
        <w:t>S</w:t>
      </w:r>
      <w:r w:rsidR="00353D25">
        <w:rPr>
          <w:rFonts w:ascii="Times New Roman" w:hAnsi="Times New Roman" w:cs="Times New Roman"/>
          <w:sz w:val="24"/>
          <w:szCs w:val="24"/>
          <w:lang w:val="en-US"/>
        </w:rPr>
        <w:t xml:space="preserve"> = 50 because the </w:t>
      </w:r>
      <w:r w:rsidR="00353D25">
        <w:rPr>
          <w:rFonts w:ascii="Times New Roman" w:hAnsi="Times New Roman" w:cs="Times New Roman"/>
          <w:sz w:val="24"/>
          <w:szCs w:val="24"/>
          <w:lang w:val="en-US"/>
        </w:rPr>
        <w:lastRenderedPageBreak/>
        <w:t>expected death rate in that scenario is acceptable.</w:t>
      </w:r>
      <w:r w:rsidR="00353D25">
        <w:rPr>
          <w:rStyle w:val="FootnoteReference"/>
          <w:rFonts w:ascii="Times New Roman" w:hAnsi="Times New Roman" w:cs="Times New Roman"/>
          <w:sz w:val="24"/>
          <w:szCs w:val="24"/>
          <w:lang w:val="en-US"/>
        </w:rPr>
        <w:footnoteReference w:id="31"/>
      </w:r>
      <w:r w:rsidR="00353D25">
        <w:rPr>
          <w:rFonts w:ascii="Times New Roman" w:hAnsi="Times New Roman" w:cs="Times New Roman"/>
          <w:sz w:val="24"/>
          <w:szCs w:val="24"/>
          <w:lang w:val="en-US"/>
        </w:rPr>
        <w:t xml:space="preserve">  If the governments’ predictions are on average accurate, then the outcomes would be as follows:</w:t>
      </w:r>
    </w:p>
    <w:p w14:paraId="20287DE4" w14:textId="77777777" w:rsidR="00353D25" w:rsidRDefault="00353D25" w:rsidP="00353D25">
      <w:pPr>
        <w:spacing w:after="0" w:line="360" w:lineRule="auto"/>
        <w:jc w:val="both"/>
        <w:rPr>
          <w:rFonts w:ascii="Times New Roman" w:hAnsi="Times New Roman" w:cs="Times New Roman"/>
          <w:sz w:val="24"/>
          <w:szCs w:val="24"/>
          <w:lang w:val="en-US"/>
        </w:rPr>
      </w:pPr>
    </w:p>
    <w:p w14:paraId="4C725145" w14:textId="77777777" w:rsidR="00353D25" w:rsidRDefault="00353D25" w:rsidP="00353D25">
      <w:pPr>
        <w:tabs>
          <w:tab w:val="left" w:pos="2835"/>
          <w:tab w:val="left" w:pos="48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Type A countries: </w:t>
      </w:r>
      <w:r>
        <w:rPr>
          <w:rFonts w:ascii="Times New Roman" w:hAnsi="Times New Roman" w:cs="Times New Roman"/>
          <w:sz w:val="24"/>
          <w:szCs w:val="24"/>
          <w:lang w:val="en-US"/>
        </w:rPr>
        <w:tab/>
      </w:r>
      <w:r w:rsidRPr="008C28CD">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and </w:t>
      </w:r>
      <w:r w:rsidRPr="008C28CD">
        <w:rPr>
          <w:rFonts w:ascii="Times New Roman" w:hAnsi="Times New Roman" w:cs="Times New Roman"/>
          <w:i/>
          <w:sz w:val="24"/>
          <w:szCs w:val="24"/>
          <w:lang w:val="en-US"/>
        </w:rPr>
        <w:t>D</w:t>
      </w:r>
      <w:r>
        <w:rPr>
          <w:rFonts w:ascii="Times New Roman" w:hAnsi="Times New Roman" w:cs="Times New Roman"/>
          <w:sz w:val="24"/>
          <w:szCs w:val="24"/>
          <w:lang w:val="en-US"/>
        </w:rPr>
        <w:t xml:space="preserve"> = 170 on average</w:t>
      </w:r>
    </w:p>
    <w:p w14:paraId="58A49BCE" w14:textId="77777777" w:rsidR="00353D25" w:rsidRDefault="00353D25" w:rsidP="00353D25">
      <w:pPr>
        <w:tabs>
          <w:tab w:val="left" w:pos="2835"/>
          <w:tab w:val="left" w:pos="48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Type B countries: </w:t>
      </w:r>
      <w:r>
        <w:rPr>
          <w:rFonts w:ascii="Times New Roman" w:hAnsi="Times New Roman" w:cs="Times New Roman"/>
          <w:sz w:val="24"/>
          <w:szCs w:val="24"/>
          <w:lang w:val="en-US"/>
        </w:rPr>
        <w:tab/>
      </w:r>
      <w:r w:rsidRPr="008C28CD">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and </w:t>
      </w:r>
      <w:r w:rsidRPr="008C28CD">
        <w:rPr>
          <w:rFonts w:ascii="Times New Roman" w:hAnsi="Times New Roman" w:cs="Times New Roman"/>
          <w:i/>
          <w:sz w:val="24"/>
          <w:szCs w:val="24"/>
          <w:lang w:val="en-US"/>
        </w:rPr>
        <w:t>D</w:t>
      </w:r>
      <w:r>
        <w:rPr>
          <w:rFonts w:ascii="Times New Roman" w:hAnsi="Times New Roman" w:cs="Times New Roman"/>
          <w:sz w:val="24"/>
          <w:szCs w:val="24"/>
          <w:lang w:val="en-US"/>
        </w:rPr>
        <w:t xml:space="preserve"> = 250 on average</w:t>
      </w:r>
    </w:p>
    <w:p w14:paraId="3DFA2293" w14:textId="77777777" w:rsidR="00353D25" w:rsidRDefault="00353D25" w:rsidP="00353D25">
      <w:pPr>
        <w:spacing w:after="0" w:line="360" w:lineRule="auto"/>
        <w:jc w:val="both"/>
        <w:rPr>
          <w:rFonts w:ascii="Times New Roman" w:hAnsi="Times New Roman" w:cs="Times New Roman"/>
          <w:sz w:val="24"/>
          <w:szCs w:val="24"/>
          <w:lang w:val="en-US"/>
        </w:rPr>
      </w:pPr>
    </w:p>
    <w:p w14:paraId="400D3B18"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Regressing </w:t>
      </w:r>
      <w:r w:rsidRPr="00803E6A">
        <w:rPr>
          <w:rFonts w:ascii="Times New Roman" w:hAnsi="Times New Roman" w:cs="Times New Roman"/>
          <w:i/>
          <w:sz w:val="24"/>
          <w:szCs w:val="24"/>
          <w:lang w:val="en-US"/>
        </w:rPr>
        <w:t>D</w:t>
      </w:r>
      <w:r>
        <w:rPr>
          <w:rFonts w:ascii="Times New Roman" w:hAnsi="Times New Roman" w:cs="Times New Roman"/>
          <w:sz w:val="24"/>
          <w:szCs w:val="24"/>
          <w:lang w:val="en-US"/>
        </w:rPr>
        <w:t xml:space="preserve">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then yield a coefficient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of -1.6, consistent with the </w:t>
      </w:r>
      <w:r w:rsidR="004B6600">
        <w:rPr>
          <w:rFonts w:ascii="Times New Roman" w:hAnsi="Times New Roman" w:cs="Times New Roman"/>
          <w:sz w:val="24"/>
          <w:szCs w:val="24"/>
          <w:lang w:val="en-US"/>
        </w:rPr>
        <w:t xml:space="preserve">assumed </w:t>
      </w:r>
      <w:r>
        <w:rPr>
          <w:rFonts w:ascii="Times New Roman" w:hAnsi="Times New Roman" w:cs="Times New Roman"/>
          <w:sz w:val="24"/>
          <w:szCs w:val="24"/>
          <w:lang w:val="en-US"/>
        </w:rPr>
        <w:t>regress</w:t>
      </w:r>
      <w:r w:rsidR="004B6600">
        <w:rPr>
          <w:rFonts w:ascii="Times New Roman" w:hAnsi="Times New Roman" w:cs="Times New Roman"/>
          <w:sz w:val="24"/>
          <w:szCs w:val="24"/>
          <w:lang w:val="en-US"/>
        </w:rPr>
        <w:t>ion result</w:t>
      </w:r>
      <w:r>
        <w:rPr>
          <w:rFonts w:ascii="Times New Roman" w:hAnsi="Times New Roman" w:cs="Times New Roman"/>
          <w:sz w:val="24"/>
          <w:szCs w:val="24"/>
          <w:lang w:val="en-US"/>
        </w:rPr>
        <w:t xml:space="preserve">.  However, the real coefficients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are much lower, most particularly -37.0 for type A countries.  Thus, the regression coefficient on </w:t>
      </w:r>
      <w:r w:rsidRPr="00822FD8">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be biased upwards.</w:t>
      </w:r>
    </w:p>
    <w:p w14:paraId="56A0CB74" w14:textId="77777777" w:rsidR="00353D25" w:rsidRDefault="00353D25" w:rsidP="00353D25">
      <w:pPr>
        <w:spacing w:after="0" w:line="360" w:lineRule="auto"/>
        <w:jc w:val="both"/>
        <w:rPr>
          <w:rFonts w:ascii="Times New Roman" w:hAnsi="Times New Roman" w:cs="Times New Roman"/>
          <w:sz w:val="24"/>
          <w:szCs w:val="24"/>
          <w:lang w:val="en-US"/>
        </w:rPr>
      </w:pPr>
    </w:p>
    <w:p w14:paraId="71AA02C5"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plausible that some governments believed that their death rate under mitigation would be both large and vastly in excess of their death rate under extre</w:t>
      </w:r>
      <w:r w:rsidR="00E90012">
        <w:rPr>
          <w:rFonts w:ascii="Times New Roman" w:hAnsi="Times New Roman" w:cs="Times New Roman"/>
          <w:sz w:val="24"/>
          <w:szCs w:val="24"/>
          <w:lang w:val="en-US"/>
        </w:rPr>
        <w:t>me lockdown, as shown in Table 6</w:t>
      </w:r>
      <w:r>
        <w:rPr>
          <w:rFonts w:ascii="Times New Roman" w:hAnsi="Times New Roman" w:cs="Times New Roman"/>
          <w:sz w:val="24"/>
          <w:szCs w:val="24"/>
          <w:lang w:val="en-US"/>
        </w:rPr>
        <w:t>, and acted accordingly in accordance with the predictions of experts like Ferguson et al (2020).  It is also plausible that other governments believed that their death rates under mitigation would be much lower, as shown in Table 6, and acted accordingly in accordance with contrary expert opinions.</w:t>
      </w:r>
      <w:r>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 xml:space="preserve">  However, both types of governments’ beliefs would need to be (on average) correct in order to be compatible with the coefficient on </w:t>
      </w:r>
      <w:r w:rsidRPr="005D6140">
        <w:rPr>
          <w:rFonts w:ascii="Times New Roman" w:hAnsi="Times New Roman" w:cs="Times New Roman"/>
          <w:i/>
          <w:sz w:val="24"/>
          <w:szCs w:val="24"/>
          <w:lang w:val="en-US"/>
        </w:rPr>
        <w:t>S</w:t>
      </w:r>
      <w:r w:rsidR="00E90012">
        <w:rPr>
          <w:rFonts w:ascii="Times New Roman" w:hAnsi="Times New Roman" w:cs="Times New Roman"/>
          <w:sz w:val="24"/>
          <w:szCs w:val="24"/>
          <w:lang w:val="en-US"/>
        </w:rPr>
        <w:t xml:space="preserve"> in equation (1</w:t>
      </w:r>
      <w:r>
        <w:rPr>
          <w:rFonts w:ascii="Times New Roman" w:hAnsi="Times New Roman" w:cs="Times New Roman"/>
          <w:sz w:val="24"/>
          <w:szCs w:val="24"/>
          <w:lang w:val="en-US"/>
        </w:rPr>
        <w:t xml:space="preserve">) of -1.6.  Thus, there would have to be features of these two types of countries that would justify the markedly higher death rate in type A countries than in type B countries under mitigation (times 8 in Table 6), </w:t>
      </w:r>
      <w:r w:rsidRPr="008A2E7B">
        <w:rPr>
          <w:rFonts w:ascii="Times New Roman" w:hAnsi="Times New Roman" w:cs="Times New Roman"/>
          <w:i/>
          <w:sz w:val="24"/>
          <w:szCs w:val="24"/>
          <w:lang w:val="en-US"/>
        </w:rPr>
        <w:t>and</w:t>
      </w:r>
      <w:r>
        <w:rPr>
          <w:rFonts w:ascii="Times New Roman" w:hAnsi="Times New Roman" w:cs="Times New Roman"/>
          <w:sz w:val="24"/>
          <w:szCs w:val="24"/>
          <w:lang w:val="en-US"/>
        </w:rPr>
        <w:t xml:space="preserve"> governments would have to have been capable of recognizing these at the commencement of the crisis.  Experts’ predictions, such as those of Ferguson et al (2020), would not have helped.  For example, Ferguson et al (2020) used Chinese data to generate predictions for only the UK and US, which differed only slightly (3,700 per 1m for the UK and 3,500 for the US) due to demographics and population density (ibid, pp. 6-7 and 16).  Furthermore, his numerous critics believed his death rates for the UK and US under mitigation were too high rather than that they were correct for those countries but far too high for others.  Furthermore, if by some other means governments believed that their death rates under mitigation would markedly differ due to some variable other than the</w:t>
      </w:r>
      <w:r w:rsidR="00E90012">
        <w:rPr>
          <w:rFonts w:ascii="Times New Roman" w:hAnsi="Times New Roman" w:cs="Times New Roman"/>
          <w:sz w:val="24"/>
          <w:szCs w:val="24"/>
          <w:lang w:val="en-US"/>
        </w:rPr>
        <w:t xml:space="preserve"> regressors used in equation (1</w:t>
      </w:r>
      <w:r>
        <w:rPr>
          <w:rFonts w:ascii="Times New Roman" w:hAnsi="Times New Roman" w:cs="Times New Roman"/>
          <w:sz w:val="24"/>
          <w:szCs w:val="24"/>
          <w:lang w:val="en-US"/>
        </w:rPr>
        <w:t xml:space="preserve">) or those tested and rejected by me, and their beliefs were correct, they would have to have been aware in advance of a variable that I have not been able to locate even with </w:t>
      </w:r>
      <w:r>
        <w:rPr>
          <w:rFonts w:ascii="Times New Roman" w:hAnsi="Times New Roman" w:cs="Times New Roman"/>
          <w:sz w:val="24"/>
          <w:szCs w:val="24"/>
          <w:lang w:val="en-US"/>
        </w:rPr>
        <w:lastRenderedPageBreak/>
        <w:t xml:space="preserve">the advantage of subsequently obtaining and testing the data that has become available since the commencement of the crisis.  These conditions are not plausible, and this implies that the estimated coefficient on </w:t>
      </w:r>
      <w:r w:rsidRPr="00814F26">
        <w:rPr>
          <w:rFonts w:ascii="Times New Roman" w:hAnsi="Times New Roman" w:cs="Times New Roman"/>
          <w:i/>
          <w:sz w:val="24"/>
          <w:szCs w:val="24"/>
          <w:lang w:val="en-US"/>
        </w:rPr>
        <w:t>S</w:t>
      </w:r>
      <w:r>
        <w:rPr>
          <w:rFonts w:ascii="Times New Roman" w:hAnsi="Times New Roman" w:cs="Times New Roman"/>
          <w:sz w:val="24"/>
          <w:szCs w:val="24"/>
          <w:lang w:val="en-US"/>
        </w:rPr>
        <w:t xml:space="preserve"> of -1.65 is not materially biased for reasons of this type.</w:t>
      </w:r>
    </w:p>
    <w:p w14:paraId="22393368" w14:textId="77777777" w:rsidR="00353D25" w:rsidRDefault="00353D25" w:rsidP="00353D25">
      <w:pPr>
        <w:spacing w:after="0" w:line="360" w:lineRule="auto"/>
        <w:jc w:val="both"/>
        <w:rPr>
          <w:rFonts w:ascii="Times New Roman" w:hAnsi="Times New Roman" w:cs="Times New Roman"/>
          <w:sz w:val="24"/>
          <w:szCs w:val="24"/>
          <w:lang w:val="en-US"/>
        </w:rPr>
      </w:pPr>
    </w:p>
    <w:p w14:paraId="0775EFBB"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 pot</w:t>
      </w:r>
      <w:r w:rsidR="00E90012">
        <w:rPr>
          <w:rFonts w:ascii="Times New Roman" w:hAnsi="Times New Roman" w:cs="Times New Roman"/>
          <w:sz w:val="24"/>
          <w:szCs w:val="24"/>
          <w:lang w:val="en-US"/>
        </w:rPr>
        <w:t>ential problem with equation (1</w:t>
      </w:r>
      <w:r>
        <w:rPr>
          <w:rFonts w:ascii="Times New Roman" w:hAnsi="Times New Roman" w:cs="Times New Roman"/>
          <w:sz w:val="24"/>
          <w:szCs w:val="24"/>
          <w:lang w:val="en-US"/>
        </w:rPr>
        <w:t xml:space="preserve">) is that some governments may have chosen their </w:t>
      </w:r>
      <w:r w:rsidRPr="00D439BF">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in light of their observation of their country’s death rate in the early stages of the crisis, believing it would predict the final death rate.  To illustrate this, suppose there are two types of countries, with average death rates under mitigation and extreme lockdown thus:</w:t>
      </w:r>
    </w:p>
    <w:p w14:paraId="527A8F55" w14:textId="77777777" w:rsidR="00353D25" w:rsidRDefault="00353D25" w:rsidP="00353D25">
      <w:pPr>
        <w:spacing w:after="0" w:line="360" w:lineRule="auto"/>
        <w:jc w:val="both"/>
        <w:rPr>
          <w:rFonts w:ascii="Times New Roman" w:hAnsi="Times New Roman" w:cs="Times New Roman"/>
          <w:sz w:val="24"/>
          <w:szCs w:val="24"/>
          <w:lang w:val="en-US"/>
        </w:rPr>
      </w:pPr>
    </w:p>
    <w:p w14:paraId="42D984C6" w14:textId="77777777" w:rsidR="00353D25" w:rsidRDefault="00353D25" w:rsidP="00353D2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7: Average Death Rates under Various Scenarios</w:t>
      </w:r>
    </w:p>
    <w:p w14:paraId="2DC7720D"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576F398F" w14:textId="77777777" w:rsidR="00353D25" w:rsidRDefault="00353D25" w:rsidP="00353D25">
      <w:pPr>
        <w:tabs>
          <w:tab w:val="left" w:pos="4536"/>
          <w:tab w:val="left" w:pos="652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50</w:t>
      </w: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w:t>
      </w:r>
    </w:p>
    <w:p w14:paraId="60FFFECF" w14:textId="77777777" w:rsidR="00353D25" w:rsidRDefault="00353D25" w:rsidP="00353D25">
      <w:pPr>
        <w:tabs>
          <w:tab w:val="left" w:pos="4536"/>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57DF3F90" w14:textId="77777777" w:rsidR="00353D25" w:rsidRDefault="00353D25" w:rsidP="00353D25">
      <w:pPr>
        <w:tabs>
          <w:tab w:val="left" w:pos="1701"/>
          <w:tab w:val="left" w:pos="4678"/>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A</w:t>
      </w:r>
      <w:r>
        <w:rPr>
          <w:rFonts w:ascii="Times New Roman" w:hAnsi="Times New Roman" w:cs="Times New Roman"/>
          <w:sz w:val="24"/>
          <w:szCs w:val="24"/>
          <w:lang w:val="en-US"/>
        </w:rPr>
        <w:tab/>
        <w:t>600</w:t>
      </w:r>
      <w:r>
        <w:rPr>
          <w:rFonts w:ascii="Times New Roman" w:hAnsi="Times New Roman" w:cs="Times New Roman"/>
          <w:sz w:val="24"/>
          <w:szCs w:val="24"/>
          <w:lang w:val="en-US"/>
        </w:rPr>
        <w:tab/>
        <w:t>170</w:t>
      </w:r>
    </w:p>
    <w:p w14:paraId="2A965486" w14:textId="77777777" w:rsidR="00353D25" w:rsidRDefault="00353D25" w:rsidP="00353D25">
      <w:pPr>
        <w:tabs>
          <w:tab w:val="left" w:pos="1701"/>
          <w:tab w:val="left" w:pos="4678"/>
          <w:tab w:val="left" w:pos="666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B</w:t>
      </w:r>
      <w:r>
        <w:rPr>
          <w:rFonts w:ascii="Times New Roman" w:hAnsi="Times New Roman" w:cs="Times New Roman"/>
          <w:sz w:val="24"/>
          <w:szCs w:val="24"/>
          <w:lang w:val="en-US"/>
        </w:rPr>
        <w:tab/>
        <w:t>250</w:t>
      </w:r>
      <w:r>
        <w:rPr>
          <w:rFonts w:ascii="Times New Roman" w:hAnsi="Times New Roman" w:cs="Times New Roman"/>
          <w:sz w:val="24"/>
          <w:szCs w:val="24"/>
          <w:lang w:val="en-US"/>
        </w:rPr>
        <w:tab/>
        <w:t>&lt; 170</w:t>
      </w:r>
    </w:p>
    <w:p w14:paraId="64357105"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14:paraId="713DAC92" w14:textId="77777777" w:rsidR="00353D25" w:rsidRDefault="00353D25" w:rsidP="00353D25">
      <w:pPr>
        <w:spacing w:after="0" w:line="360" w:lineRule="auto"/>
        <w:jc w:val="both"/>
        <w:rPr>
          <w:rFonts w:ascii="Times New Roman" w:hAnsi="Times New Roman" w:cs="Times New Roman"/>
          <w:sz w:val="24"/>
          <w:szCs w:val="24"/>
          <w:lang w:val="en-US"/>
        </w:rPr>
      </w:pPr>
    </w:p>
    <w:p w14:paraId="6612627C"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commencement of the crisis, it is unknown which category each country lies in but it is revealed by the death rates in the early stages of the crisis.  So, upon observing their early stage death rates, the governments of type A countries then understood that they were of that type and chose extreme lockdown, yielding </w:t>
      </w:r>
      <w:r w:rsidRPr="00E71923">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and an average death rate of </w:t>
      </w:r>
      <w:r w:rsidRPr="00E71923">
        <w:rPr>
          <w:rFonts w:ascii="Times New Roman" w:hAnsi="Times New Roman" w:cs="Times New Roman"/>
          <w:i/>
          <w:sz w:val="24"/>
          <w:szCs w:val="24"/>
          <w:lang w:val="en-US"/>
        </w:rPr>
        <w:t>D</w:t>
      </w:r>
      <w:r>
        <w:rPr>
          <w:rFonts w:ascii="Times New Roman" w:hAnsi="Times New Roman" w:cs="Times New Roman"/>
          <w:sz w:val="24"/>
          <w:szCs w:val="24"/>
          <w:lang w:val="en-US"/>
        </w:rPr>
        <w:t xml:space="preserve"> = 170.  At the same point, the governments of type B countries then understood that they were of that type and chose mitigation, yielding </w:t>
      </w:r>
      <w:r w:rsidRPr="00E71923">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and an average death rate of </w:t>
      </w:r>
      <w:r w:rsidRPr="00E71923">
        <w:rPr>
          <w:rFonts w:ascii="Times New Roman" w:hAnsi="Times New Roman" w:cs="Times New Roman"/>
          <w:i/>
          <w:sz w:val="24"/>
          <w:szCs w:val="24"/>
          <w:lang w:val="en-US"/>
        </w:rPr>
        <w:t>D</w:t>
      </w:r>
      <w:r>
        <w:rPr>
          <w:rFonts w:ascii="Times New Roman" w:hAnsi="Times New Roman" w:cs="Times New Roman"/>
          <w:sz w:val="24"/>
          <w:szCs w:val="24"/>
          <w:lang w:val="en-US"/>
        </w:rPr>
        <w:t xml:space="preserve"> = 250.  Regressing </w:t>
      </w:r>
      <w:r w:rsidRPr="00803E6A">
        <w:rPr>
          <w:rFonts w:ascii="Times New Roman" w:hAnsi="Times New Roman" w:cs="Times New Roman"/>
          <w:i/>
          <w:sz w:val="24"/>
          <w:szCs w:val="24"/>
          <w:lang w:val="en-US"/>
        </w:rPr>
        <w:t>D</w:t>
      </w:r>
      <w:r>
        <w:rPr>
          <w:rFonts w:ascii="Times New Roman" w:hAnsi="Times New Roman" w:cs="Times New Roman"/>
          <w:sz w:val="24"/>
          <w:szCs w:val="24"/>
          <w:lang w:val="en-US"/>
        </w:rPr>
        <w:t xml:space="preserve">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then yield a coefficient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of -1.6, consistent with the </w:t>
      </w:r>
      <w:r w:rsidR="009841E0">
        <w:rPr>
          <w:rFonts w:ascii="Times New Roman" w:hAnsi="Times New Roman" w:cs="Times New Roman"/>
          <w:sz w:val="24"/>
          <w:szCs w:val="24"/>
          <w:lang w:val="en-US"/>
        </w:rPr>
        <w:t xml:space="preserve">assumed </w:t>
      </w:r>
      <w:r>
        <w:rPr>
          <w:rFonts w:ascii="Times New Roman" w:hAnsi="Times New Roman" w:cs="Times New Roman"/>
          <w:sz w:val="24"/>
          <w:szCs w:val="24"/>
          <w:lang w:val="en-US"/>
        </w:rPr>
        <w:t>regress</w:t>
      </w:r>
      <w:r w:rsidR="009841E0">
        <w:rPr>
          <w:rFonts w:ascii="Times New Roman" w:hAnsi="Times New Roman" w:cs="Times New Roman"/>
          <w:sz w:val="24"/>
          <w:szCs w:val="24"/>
          <w:lang w:val="en-US"/>
        </w:rPr>
        <w:t>ion result</w:t>
      </w:r>
      <w:r>
        <w:rPr>
          <w:rFonts w:ascii="Times New Roman" w:hAnsi="Times New Roman" w:cs="Times New Roman"/>
          <w:sz w:val="24"/>
          <w:szCs w:val="24"/>
          <w:lang w:val="en-US"/>
        </w:rPr>
        <w:t xml:space="preserve">.  However, the real coefficients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are much lower, most particularly -8.6 for type A countries.  Thus, the regression coefficient on </w:t>
      </w:r>
      <w:r w:rsidRPr="00822FD8">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be biased up.</w:t>
      </w:r>
    </w:p>
    <w:p w14:paraId="6A591C37" w14:textId="77777777" w:rsidR="00353D25" w:rsidRDefault="00353D25" w:rsidP="00353D25">
      <w:pPr>
        <w:spacing w:after="0" w:line="360" w:lineRule="auto"/>
        <w:jc w:val="both"/>
        <w:rPr>
          <w:rFonts w:ascii="Times New Roman" w:hAnsi="Times New Roman" w:cs="Times New Roman"/>
          <w:sz w:val="24"/>
          <w:szCs w:val="24"/>
          <w:lang w:val="en-US"/>
        </w:rPr>
      </w:pPr>
    </w:p>
    <w:p w14:paraId="779C5CC4"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scenario can be tested as follows.  For each country, I regress its Stringency value ten days after its first reported death (</w:t>
      </w:r>
      <w:r w:rsidRPr="009A4036">
        <w:rPr>
          <w:rFonts w:ascii="Times New Roman" w:hAnsi="Times New Roman" w:cs="Times New Roman"/>
          <w:i/>
          <w:sz w:val="24"/>
          <w:szCs w:val="24"/>
          <w:lang w:val="en-US"/>
        </w:rPr>
        <w:t>S</w:t>
      </w:r>
      <w:r w:rsidRPr="009A4036">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 on its death rate up to that point (</w:t>
      </w:r>
      <w:r w:rsidRPr="009A4036">
        <w:rPr>
          <w:rFonts w:ascii="Times New Roman" w:hAnsi="Times New Roman" w:cs="Times New Roman"/>
          <w:i/>
          <w:sz w:val="24"/>
          <w:szCs w:val="24"/>
          <w:lang w:val="en-US"/>
        </w:rPr>
        <w:t>D</w:t>
      </w:r>
      <w:r w:rsidRPr="009A4036">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 xml:space="preserve">), to assess whether </w:t>
      </w:r>
      <w:r w:rsidRPr="008A15B9">
        <w:rPr>
          <w:rFonts w:ascii="Times New Roman" w:hAnsi="Times New Roman" w:cs="Times New Roman"/>
          <w:i/>
          <w:sz w:val="24"/>
          <w:szCs w:val="24"/>
          <w:lang w:val="en-US"/>
        </w:rPr>
        <w:t>D</w:t>
      </w:r>
      <w:r>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 xml:space="preserve"> can explain </w:t>
      </w:r>
      <w:r w:rsidRPr="008A15B9">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 xml:space="preserve">.  I repeat the process for 20 and 30 days after each country’s first death.  I also test whether any of these three early stage death rates can explain the maximum </w:t>
      </w:r>
      <w:r w:rsidRPr="005879EA">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chosen by governments (</w:t>
      </w:r>
      <w:r w:rsidRPr="001A16FE">
        <w:rPr>
          <w:rFonts w:ascii="Times New Roman" w:hAnsi="Times New Roman" w:cs="Times New Roman"/>
          <w:i/>
          <w:sz w:val="24"/>
          <w:szCs w:val="24"/>
          <w:lang w:val="en-US"/>
        </w:rPr>
        <w:t>S</w:t>
      </w:r>
      <w:r w:rsidRPr="001A16FE">
        <w:rPr>
          <w:rFonts w:ascii="Times New Roman" w:hAnsi="Times New Roman" w:cs="Times New Roman"/>
          <w:i/>
          <w:sz w:val="24"/>
          <w:szCs w:val="24"/>
          <w:vertAlign w:val="subscript"/>
          <w:lang w:val="en-US"/>
        </w:rPr>
        <w:t>m</w:t>
      </w:r>
      <w:r>
        <w:rPr>
          <w:rFonts w:ascii="Times New Roman" w:hAnsi="Times New Roman" w:cs="Times New Roman"/>
          <w:sz w:val="24"/>
          <w:szCs w:val="24"/>
          <w:lang w:val="en-US"/>
        </w:rPr>
        <w:t xml:space="preserve">).  These regressions yield the results shown in the first six columns of Table 8 below.  Only two of these regressions even yield a positive coefficient on early death rate (consistent with the scenario in Table 7) and none of them yields a statistically significant coefficient on it.  So, the hypothesis that early stage death rates did not </w:t>
      </w:r>
      <w:r>
        <w:rPr>
          <w:rFonts w:ascii="Times New Roman" w:hAnsi="Times New Roman" w:cs="Times New Roman"/>
          <w:sz w:val="24"/>
          <w:szCs w:val="24"/>
          <w:lang w:val="en-US"/>
        </w:rPr>
        <w:lastRenderedPageBreak/>
        <w:t xml:space="preserve">affect governments’ choice of </w:t>
      </w:r>
      <w:r w:rsidRPr="00D97CFE">
        <w:rPr>
          <w:rFonts w:ascii="Times New Roman" w:hAnsi="Times New Roman" w:cs="Times New Roman"/>
          <w:i/>
          <w:sz w:val="24"/>
          <w:szCs w:val="24"/>
          <w:lang w:val="en-US"/>
        </w:rPr>
        <w:t>S</w:t>
      </w:r>
      <w:r>
        <w:rPr>
          <w:rFonts w:ascii="Times New Roman" w:hAnsi="Times New Roman" w:cs="Times New Roman"/>
          <w:sz w:val="24"/>
          <w:szCs w:val="24"/>
          <w:lang w:val="en-US"/>
        </w:rPr>
        <w:t xml:space="preserve"> cannot be rejected.  This is surprising because the death rates up to day 20, and even more so for up to day 30, are good predictors of the death rate in the first wave of the crisis (to 22 August, and designated </w:t>
      </w:r>
      <w:r w:rsidRPr="001A16FE">
        <w:rPr>
          <w:rFonts w:ascii="Times New Roman" w:hAnsi="Times New Roman" w:cs="Times New Roman"/>
          <w:i/>
          <w:sz w:val="24"/>
          <w:szCs w:val="24"/>
          <w:lang w:val="en-US"/>
        </w:rPr>
        <w:t>D</w:t>
      </w:r>
      <w:r>
        <w:rPr>
          <w:rFonts w:ascii="Times New Roman" w:hAnsi="Times New Roman" w:cs="Times New Roman"/>
          <w:sz w:val="24"/>
          <w:szCs w:val="24"/>
          <w:lang w:val="en-US"/>
        </w:rPr>
        <w:t xml:space="preserve">), as shown in the last three columns of Table 8.  So, at least from day 20, the death rate data up to that point could have been used to set the </w:t>
      </w:r>
      <w:r w:rsidRPr="001A16FE">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at that point or the maximum </w:t>
      </w:r>
      <w:r w:rsidRPr="001A16FE">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but governments did </w:t>
      </w:r>
      <w:r w:rsidRPr="007B7CE3">
        <w:rPr>
          <w:rFonts w:ascii="Times New Roman" w:hAnsi="Times New Roman" w:cs="Times New Roman"/>
          <w:i/>
          <w:sz w:val="24"/>
          <w:szCs w:val="24"/>
          <w:lang w:val="en-US"/>
        </w:rPr>
        <w:t>not</w:t>
      </w:r>
      <w:r>
        <w:rPr>
          <w:rFonts w:ascii="Times New Roman" w:hAnsi="Times New Roman" w:cs="Times New Roman"/>
          <w:sz w:val="24"/>
          <w:szCs w:val="24"/>
          <w:lang w:val="en-US"/>
        </w:rPr>
        <w:t xml:space="preserve"> seem to have done so.  </w:t>
      </w:r>
    </w:p>
    <w:p w14:paraId="449FD5E5" w14:textId="77777777" w:rsidR="00353D25" w:rsidRDefault="00353D25" w:rsidP="00353D25">
      <w:pPr>
        <w:spacing w:after="0" w:line="360" w:lineRule="auto"/>
        <w:jc w:val="both"/>
        <w:rPr>
          <w:rFonts w:ascii="Times New Roman" w:hAnsi="Times New Roman" w:cs="Times New Roman"/>
          <w:sz w:val="24"/>
          <w:szCs w:val="24"/>
          <w:lang w:val="en-US"/>
        </w:rPr>
      </w:pPr>
    </w:p>
    <w:p w14:paraId="42DD946C" w14:textId="77777777" w:rsidR="00353D25" w:rsidRDefault="00353D25" w:rsidP="00353D2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8: Stringency Levels and Death Rates</w:t>
      </w:r>
    </w:p>
    <w:p w14:paraId="4993D218"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46EFBAE9" w14:textId="77777777" w:rsidR="00353D25" w:rsidRPr="001A16FE"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Dep Var (DV)</w:t>
      </w:r>
      <w:r>
        <w:rPr>
          <w:rFonts w:ascii="Times New Roman" w:hAnsi="Times New Roman" w:cs="Times New Roman"/>
          <w:sz w:val="24"/>
          <w:szCs w:val="24"/>
          <w:lang w:val="en-US"/>
        </w:rPr>
        <w:tab/>
      </w:r>
      <w:r>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10</w:t>
      </w:r>
      <w:r>
        <w:rPr>
          <w:rFonts w:ascii="Times New Roman" w:hAnsi="Times New Roman" w:cs="Times New Roman"/>
          <w:i/>
          <w:sz w:val="24"/>
          <w:szCs w:val="24"/>
          <w:vertAlign w:val="subscript"/>
          <w:lang w:val="en-US"/>
        </w:rPr>
        <w:tab/>
      </w:r>
      <w:r>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20</w:t>
      </w:r>
      <w:r>
        <w:rPr>
          <w:rFonts w:ascii="Times New Roman" w:hAnsi="Times New Roman" w:cs="Times New Roman"/>
          <w:i/>
          <w:sz w:val="24"/>
          <w:szCs w:val="24"/>
          <w:lang w:val="en-US"/>
        </w:rPr>
        <w:tab/>
        <w:t>S</w:t>
      </w:r>
      <w:r>
        <w:rPr>
          <w:rFonts w:ascii="Times New Roman" w:hAnsi="Times New Roman" w:cs="Times New Roman"/>
          <w:i/>
          <w:sz w:val="24"/>
          <w:szCs w:val="24"/>
          <w:vertAlign w:val="subscript"/>
          <w:lang w:val="en-US"/>
        </w:rPr>
        <w:t>30</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m</w:t>
      </w:r>
      <w:proofErr w:type="spellEnd"/>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m</w:t>
      </w:r>
      <w:proofErr w:type="spellEnd"/>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m</w:t>
      </w:r>
      <w:proofErr w:type="spellEnd"/>
      <w:r>
        <w:rPr>
          <w:rFonts w:ascii="Times New Roman" w:hAnsi="Times New Roman" w:cs="Times New Roman"/>
          <w:i/>
          <w:sz w:val="24"/>
          <w:szCs w:val="24"/>
          <w:lang w:val="en-US"/>
        </w:rPr>
        <w:tab/>
        <w:t>D</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D</w:t>
      </w:r>
      <w:proofErr w:type="spellEnd"/>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D</w:t>
      </w:r>
      <w:proofErr w:type="spellEnd"/>
    </w:p>
    <w:p w14:paraId="75E24E77" w14:textId="77777777" w:rsidR="00353D25" w:rsidRPr="001A16FE"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240" w:lineRule="auto"/>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Indep</w:t>
      </w:r>
      <w:proofErr w:type="spellEnd"/>
      <w:r>
        <w:rPr>
          <w:rFonts w:ascii="Times New Roman" w:hAnsi="Times New Roman" w:cs="Times New Roman"/>
          <w:sz w:val="24"/>
          <w:szCs w:val="24"/>
          <w:lang w:val="en-US"/>
        </w:rPr>
        <w:t xml:space="preserve"> Var (IV)</w:t>
      </w:r>
      <w:r>
        <w:rPr>
          <w:rFonts w:ascii="Times New Roman" w:hAnsi="Times New Roman" w:cs="Times New Roman"/>
          <w:sz w:val="24"/>
          <w:szCs w:val="24"/>
          <w:lang w:val="en-US"/>
        </w:rPr>
        <w:tab/>
      </w:r>
      <w:r>
        <w:rPr>
          <w:rFonts w:ascii="Times New Roman" w:hAnsi="Times New Roman" w:cs="Times New Roman"/>
          <w:i/>
          <w:sz w:val="24"/>
          <w:szCs w:val="24"/>
          <w:lang w:val="en-US"/>
        </w:rPr>
        <w:t>D</w:t>
      </w:r>
      <w:r>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ab/>
      </w:r>
      <w:r>
        <w:rPr>
          <w:rFonts w:ascii="Times New Roman" w:hAnsi="Times New Roman" w:cs="Times New Roman"/>
          <w:i/>
          <w:sz w:val="24"/>
          <w:szCs w:val="24"/>
          <w:lang w:val="en-US"/>
        </w:rPr>
        <w:t>D</w:t>
      </w:r>
      <w:r>
        <w:rPr>
          <w:rFonts w:ascii="Times New Roman" w:hAnsi="Times New Roman" w:cs="Times New Roman"/>
          <w:i/>
          <w:sz w:val="24"/>
          <w:szCs w:val="24"/>
          <w:vertAlign w:val="subscript"/>
          <w:lang w:val="en-US"/>
        </w:rPr>
        <w:t>20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30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10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20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30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10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20</w:t>
      </w:r>
      <w:r>
        <w:rPr>
          <w:rFonts w:ascii="Times New Roman" w:hAnsi="Times New Roman" w:cs="Times New Roman"/>
          <w:i/>
          <w:sz w:val="24"/>
          <w:szCs w:val="24"/>
          <w:lang w:val="en-US"/>
        </w:rPr>
        <w:tab/>
        <w:t>D</w:t>
      </w:r>
      <w:r>
        <w:rPr>
          <w:rFonts w:ascii="Times New Roman" w:hAnsi="Times New Roman" w:cs="Times New Roman"/>
          <w:i/>
          <w:sz w:val="24"/>
          <w:szCs w:val="24"/>
          <w:vertAlign w:val="subscript"/>
          <w:lang w:val="en-US"/>
        </w:rPr>
        <w:t>30</w:t>
      </w:r>
    </w:p>
    <w:p w14:paraId="05E9128F" w14:textId="77777777" w:rsidR="00353D25" w:rsidRDefault="00353D25" w:rsidP="00353D25">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14:paraId="5979BE02" w14:textId="77777777" w:rsidR="00353D25"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 DV value</w:t>
      </w:r>
      <w:r>
        <w:rPr>
          <w:rFonts w:ascii="Times New Roman" w:hAnsi="Times New Roman" w:cs="Times New Roman"/>
          <w:sz w:val="24"/>
          <w:szCs w:val="24"/>
          <w:lang w:val="en-US"/>
        </w:rPr>
        <w:tab/>
        <w:t>68</w:t>
      </w:r>
      <w:r>
        <w:rPr>
          <w:rFonts w:ascii="Times New Roman" w:hAnsi="Times New Roman" w:cs="Times New Roman"/>
          <w:sz w:val="24"/>
          <w:szCs w:val="24"/>
          <w:lang w:val="en-US"/>
        </w:rPr>
        <w:tab/>
        <w:t>77</w:t>
      </w:r>
      <w:r>
        <w:rPr>
          <w:rFonts w:ascii="Times New Roman" w:hAnsi="Times New Roman" w:cs="Times New Roman"/>
          <w:sz w:val="24"/>
          <w:szCs w:val="24"/>
          <w:lang w:val="en-US"/>
        </w:rPr>
        <w:tab/>
        <w:t>79</w:t>
      </w:r>
      <w:r>
        <w:rPr>
          <w:rFonts w:ascii="Times New Roman" w:hAnsi="Times New Roman" w:cs="Times New Roman"/>
          <w:sz w:val="24"/>
          <w:szCs w:val="24"/>
          <w:lang w:val="en-US"/>
        </w:rPr>
        <w:tab/>
        <w:t>81</w:t>
      </w:r>
      <w:r>
        <w:rPr>
          <w:rFonts w:ascii="Times New Roman" w:hAnsi="Times New Roman" w:cs="Times New Roman"/>
          <w:sz w:val="24"/>
          <w:szCs w:val="24"/>
          <w:lang w:val="en-US"/>
        </w:rPr>
        <w:tab/>
        <w:t>81</w:t>
      </w:r>
      <w:r>
        <w:rPr>
          <w:rFonts w:ascii="Times New Roman" w:hAnsi="Times New Roman" w:cs="Times New Roman"/>
          <w:sz w:val="24"/>
          <w:szCs w:val="24"/>
          <w:lang w:val="en-US"/>
        </w:rPr>
        <w:tab/>
        <w:t>81</w:t>
      </w:r>
      <w:r>
        <w:rPr>
          <w:rFonts w:ascii="Times New Roman" w:hAnsi="Times New Roman" w:cs="Times New Roman"/>
          <w:sz w:val="24"/>
          <w:szCs w:val="24"/>
          <w:lang w:val="en-US"/>
        </w:rPr>
        <w:tab/>
        <w:t>198</w:t>
      </w:r>
      <w:r>
        <w:rPr>
          <w:rFonts w:ascii="Times New Roman" w:hAnsi="Times New Roman" w:cs="Times New Roman"/>
          <w:sz w:val="24"/>
          <w:szCs w:val="24"/>
          <w:lang w:val="en-US"/>
        </w:rPr>
        <w:tab/>
        <w:t>198</w:t>
      </w:r>
      <w:r>
        <w:rPr>
          <w:rFonts w:ascii="Times New Roman" w:hAnsi="Times New Roman" w:cs="Times New Roman"/>
          <w:sz w:val="24"/>
          <w:szCs w:val="24"/>
          <w:lang w:val="en-US"/>
        </w:rPr>
        <w:tab/>
        <w:t>198</w:t>
      </w:r>
    </w:p>
    <w:p w14:paraId="2E7B2633" w14:textId="77777777" w:rsidR="00353D25"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 IV value</w:t>
      </w:r>
      <w:r>
        <w:rPr>
          <w:rFonts w:ascii="Times New Roman" w:hAnsi="Times New Roman" w:cs="Times New Roman"/>
          <w:sz w:val="24"/>
          <w:szCs w:val="24"/>
          <w:lang w:val="en-US"/>
        </w:rPr>
        <w:tab/>
        <w:t>3</w:t>
      </w:r>
      <w:r>
        <w:rPr>
          <w:rFonts w:ascii="Times New Roman" w:hAnsi="Times New Roman" w:cs="Times New Roman"/>
          <w:sz w:val="24"/>
          <w:szCs w:val="24"/>
          <w:lang w:val="en-US"/>
        </w:rPr>
        <w:tab/>
        <w:t>17</w:t>
      </w:r>
      <w:r>
        <w:rPr>
          <w:rFonts w:ascii="Times New Roman" w:hAnsi="Times New Roman" w:cs="Times New Roman"/>
          <w:sz w:val="24"/>
          <w:szCs w:val="24"/>
          <w:lang w:val="en-US"/>
        </w:rPr>
        <w:tab/>
        <w:t>50</w:t>
      </w:r>
      <w:r>
        <w:rPr>
          <w:rFonts w:ascii="Times New Roman" w:hAnsi="Times New Roman" w:cs="Times New Roman"/>
          <w:sz w:val="24"/>
          <w:szCs w:val="24"/>
          <w:lang w:val="en-US"/>
        </w:rPr>
        <w:tab/>
        <w:t>3</w:t>
      </w:r>
      <w:r>
        <w:rPr>
          <w:rFonts w:ascii="Times New Roman" w:hAnsi="Times New Roman" w:cs="Times New Roman"/>
          <w:sz w:val="24"/>
          <w:szCs w:val="24"/>
          <w:lang w:val="en-US"/>
        </w:rPr>
        <w:tab/>
        <w:t>17</w:t>
      </w:r>
      <w:r>
        <w:rPr>
          <w:rFonts w:ascii="Times New Roman" w:hAnsi="Times New Roman" w:cs="Times New Roman"/>
          <w:sz w:val="24"/>
          <w:szCs w:val="24"/>
          <w:lang w:val="en-US"/>
        </w:rPr>
        <w:tab/>
        <w:t>50</w:t>
      </w:r>
      <w:r>
        <w:rPr>
          <w:rFonts w:ascii="Times New Roman" w:hAnsi="Times New Roman" w:cs="Times New Roman"/>
          <w:sz w:val="24"/>
          <w:szCs w:val="24"/>
          <w:lang w:val="en-US"/>
        </w:rPr>
        <w:tab/>
        <w:t>3</w:t>
      </w:r>
      <w:r>
        <w:rPr>
          <w:rFonts w:ascii="Times New Roman" w:hAnsi="Times New Roman" w:cs="Times New Roman"/>
          <w:sz w:val="24"/>
          <w:szCs w:val="24"/>
          <w:lang w:val="en-US"/>
        </w:rPr>
        <w:tab/>
        <w:t>17</w:t>
      </w:r>
      <w:r>
        <w:rPr>
          <w:rFonts w:ascii="Times New Roman" w:hAnsi="Times New Roman" w:cs="Times New Roman"/>
          <w:sz w:val="24"/>
          <w:szCs w:val="24"/>
          <w:lang w:val="en-US"/>
        </w:rPr>
        <w:tab/>
        <w:t>50</w:t>
      </w:r>
    </w:p>
    <w:p w14:paraId="45753357" w14:textId="77777777" w:rsidR="00353D25"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Coeff on DV</w:t>
      </w:r>
      <w:r>
        <w:rPr>
          <w:rFonts w:ascii="Times New Roman" w:hAnsi="Times New Roman" w:cs="Times New Roman"/>
          <w:sz w:val="24"/>
          <w:szCs w:val="24"/>
          <w:lang w:val="en-US"/>
        </w:rPr>
        <w:tab/>
        <w:t>1.9</w:t>
      </w:r>
      <w:r>
        <w:rPr>
          <w:rFonts w:ascii="Times New Roman" w:hAnsi="Times New Roman" w:cs="Times New Roman"/>
          <w:sz w:val="24"/>
          <w:szCs w:val="24"/>
          <w:lang w:val="en-US"/>
        </w:rPr>
        <w:tab/>
        <w:t>-.07</w:t>
      </w:r>
      <w:r>
        <w:rPr>
          <w:rFonts w:ascii="Times New Roman" w:hAnsi="Times New Roman" w:cs="Times New Roman"/>
          <w:sz w:val="24"/>
          <w:szCs w:val="24"/>
          <w:lang w:val="en-US"/>
        </w:rPr>
        <w:tab/>
        <w:t>.002</w:t>
      </w:r>
      <w:r>
        <w:rPr>
          <w:rFonts w:ascii="Times New Roman" w:hAnsi="Times New Roman" w:cs="Times New Roman"/>
          <w:sz w:val="24"/>
          <w:szCs w:val="24"/>
          <w:lang w:val="en-US"/>
        </w:rPr>
        <w:tab/>
        <w:t>-.57</w:t>
      </w:r>
      <w:r>
        <w:rPr>
          <w:rFonts w:ascii="Times New Roman" w:hAnsi="Times New Roman" w:cs="Times New Roman"/>
          <w:sz w:val="24"/>
          <w:szCs w:val="24"/>
          <w:lang w:val="en-US"/>
        </w:rPr>
        <w:tab/>
        <w:t>-.10</w:t>
      </w:r>
      <w:r>
        <w:rPr>
          <w:rFonts w:ascii="Times New Roman" w:hAnsi="Times New Roman" w:cs="Times New Roman"/>
          <w:sz w:val="24"/>
          <w:szCs w:val="24"/>
          <w:lang w:val="en-US"/>
        </w:rPr>
        <w:tab/>
        <w:t>-.02</w:t>
      </w:r>
      <w:r>
        <w:rPr>
          <w:rFonts w:ascii="Times New Roman" w:hAnsi="Times New Roman" w:cs="Times New Roman"/>
          <w:sz w:val="24"/>
          <w:szCs w:val="24"/>
          <w:lang w:val="en-US"/>
        </w:rPr>
        <w:tab/>
        <w:t>7.8</w:t>
      </w:r>
      <w:r>
        <w:rPr>
          <w:rFonts w:ascii="Times New Roman" w:hAnsi="Times New Roman" w:cs="Times New Roman"/>
          <w:sz w:val="24"/>
          <w:szCs w:val="24"/>
          <w:lang w:val="en-US"/>
        </w:rPr>
        <w:tab/>
        <w:t>7.4</w:t>
      </w:r>
      <w:r>
        <w:rPr>
          <w:rFonts w:ascii="Times New Roman" w:hAnsi="Times New Roman" w:cs="Times New Roman"/>
          <w:sz w:val="24"/>
          <w:szCs w:val="24"/>
          <w:lang w:val="en-US"/>
        </w:rPr>
        <w:tab/>
        <w:t>2.8</w:t>
      </w:r>
    </w:p>
    <w:p w14:paraId="3C3F6F04" w14:textId="77777777" w:rsidR="00353D25" w:rsidRDefault="00353D25" w:rsidP="00353D25">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sidRPr="00395D26">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 for DV</w:t>
      </w:r>
      <w:r>
        <w:rPr>
          <w:rFonts w:ascii="Times New Roman" w:hAnsi="Times New Roman" w:cs="Times New Roman"/>
          <w:sz w:val="24"/>
          <w:szCs w:val="24"/>
          <w:lang w:val="en-US"/>
        </w:rPr>
        <w:tab/>
        <w:t>.09</w:t>
      </w:r>
      <w:r>
        <w:rPr>
          <w:rFonts w:ascii="Times New Roman" w:hAnsi="Times New Roman" w:cs="Times New Roman"/>
          <w:sz w:val="24"/>
          <w:szCs w:val="24"/>
          <w:lang w:val="en-US"/>
        </w:rPr>
        <w:tab/>
        <w:t>.59</w:t>
      </w:r>
      <w:r>
        <w:rPr>
          <w:rFonts w:ascii="Times New Roman" w:hAnsi="Times New Roman" w:cs="Times New Roman"/>
          <w:sz w:val="24"/>
          <w:szCs w:val="24"/>
          <w:lang w:val="en-US"/>
        </w:rPr>
        <w:tab/>
        <w:t>.96</w:t>
      </w:r>
      <w:r>
        <w:rPr>
          <w:rFonts w:ascii="Times New Roman" w:hAnsi="Times New Roman" w:cs="Times New Roman"/>
          <w:sz w:val="24"/>
          <w:szCs w:val="24"/>
          <w:lang w:val="en-US"/>
        </w:rPr>
        <w:tab/>
        <w:t>.37</w:t>
      </w:r>
      <w:r>
        <w:rPr>
          <w:rFonts w:ascii="Times New Roman" w:hAnsi="Times New Roman" w:cs="Times New Roman"/>
          <w:sz w:val="24"/>
          <w:szCs w:val="24"/>
          <w:lang w:val="en-US"/>
        </w:rPr>
        <w:tab/>
        <w:t>.37</w:t>
      </w:r>
      <w:r>
        <w:rPr>
          <w:rFonts w:ascii="Times New Roman" w:hAnsi="Times New Roman" w:cs="Times New Roman"/>
          <w:sz w:val="24"/>
          <w:szCs w:val="24"/>
          <w:lang w:val="en-US"/>
        </w:rPr>
        <w:tab/>
        <w:t>.52</w:t>
      </w:r>
      <w:r>
        <w:rPr>
          <w:rFonts w:ascii="Times New Roman" w:hAnsi="Times New Roman" w:cs="Times New Roman"/>
          <w:sz w:val="24"/>
          <w:szCs w:val="24"/>
          <w:lang w:val="en-US"/>
        </w:rPr>
        <w:tab/>
        <w:t>.53</w:t>
      </w:r>
      <w:r>
        <w:rPr>
          <w:rFonts w:ascii="Times New Roman" w:hAnsi="Times New Roman" w:cs="Times New Roman"/>
          <w:sz w:val="24"/>
          <w:szCs w:val="24"/>
          <w:lang w:val="en-US"/>
        </w:rPr>
        <w:tab/>
        <w:t>0</w:t>
      </w:r>
      <w:r>
        <w:rPr>
          <w:rFonts w:ascii="Times New Roman" w:hAnsi="Times New Roman" w:cs="Times New Roman"/>
          <w:sz w:val="24"/>
          <w:szCs w:val="24"/>
          <w:lang w:val="en-US"/>
        </w:rPr>
        <w:tab/>
        <w:t>0</w:t>
      </w:r>
    </w:p>
    <w:p w14:paraId="6892C132" w14:textId="77777777" w:rsidR="00353D25" w:rsidRPr="00D3249D" w:rsidRDefault="00353D25" w:rsidP="009841E0">
      <w:pPr>
        <w:tabs>
          <w:tab w:val="left" w:pos="1843"/>
          <w:tab w:val="left" w:pos="2694"/>
          <w:tab w:val="left" w:pos="3544"/>
          <w:tab w:val="left" w:pos="4395"/>
          <w:tab w:val="left" w:pos="5245"/>
          <w:tab w:val="left" w:pos="6096"/>
          <w:tab w:val="left" w:pos="6946"/>
          <w:tab w:val="left" w:pos="7797"/>
          <w:tab w:val="left" w:pos="8647"/>
        </w:tabs>
        <w:spacing w:after="0" w:line="24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eastAsiaTheme="minorEastAsia" w:hAnsi="Times New Roman" w:cs="Times New Roman"/>
          <w:sz w:val="24"/>
          <w:szCs w:val="24"/>
          <w:lang w:val="en-US"/>
        </w:rPr>
        <w:tab/>
        <w:t>.06</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-.03</w:t>
      </w:r>
      <w:r>
        <w:rPr>
          <w:rFonts w:ascii="Times New Roman" w:eastAsiaTheme="minorEastAsia" w:hAnsi="Times New Roman" w:cs="Times New Roman"/>
          <w:sz w:val="24"/>
          <w:szCs w:val="24"/>
          <w:lang w:val="en-US"/>
        </w:rPr>
        <w:tab/>
        <w:t>-.01</w:t>
      </w:r>
      <w:r>
        <w:rPr>
          <w:rFonts w:ascii="Times New Roman" w:eastAsiaTheme="minorEastAsia" w:hAnsi="Times New Roman" w:cs="Times New Roman"/>
          <w:sz w:val="24"/>
          <w:szCs w:val="24"/>
          <w:lang w:val="en-US"/>
        </w:rPr>
        <w:tab/>
        <w:t>-.01</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.40</w:t>
      </w:r>
      <w:r>
        <w:rPr>
          <w:rFonts w:ascii="Times New Roman" w:eastAsiaTheme="minorEastAsia" w:hAnsi="Times New Roman" w:cs="Times New Roman"/>
          <w:sz w:val="24"/>
          <w:szCs w:val="24"/>
          <w:lang w:val="en-US"/>
        </w:rPr>
        <w:tab/>
        <w:t>.66</w:t>
      </w:r>
    </w:p>
    <w:p w14:paraId="610A85B6"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14:paraId="6BB87C31" w14:textId="77777777" w:rsidR="00353D25" w:rsidRDefault="00353D25" w:rsidP="00353D25">
      <w:pPr>
        <w:spacing w:after="0" w:line="360" w:lineRule="auto"/>
        <w:jc w:val="both"/>
        <w:rPr>
          <w:rFonts w:ascii="Times New Roman" w:hAnsi="Times New Roman" w:cs="Times New Roman"/>
          <w:sz w:val="24"/>
          <w:szCs w:val="24"/>
          <w:lang w:val="en-US"/>
        </w:rPr>
      </w:pPr>
    </w:p>
    <w:p w14:paraId="1F816547" w14:textId="77777777" w:rsidR="00353D25" w:rsidRDefault="00353D25" w:rsidP="00353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raises the interesting question of what does then explain the maximum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Regressing this variable on the variables used in or test</w:t>
      </w:r>
      <w:r w:rsidR="00B24036">
        <w:rPr>
          <w:rFonts w:ascii="Times New Roman" w:hAnsi="Times New Roman" w:cs="Times New Roman"/>
          <w:sz w:val="24"/>
          <w:szCs w:val="24"/>
          <w:lang w:val="en-US"/>
        </w:rPr>
        <w:t>ed for inclusion in equation (1</w:t>
      </w:r>
      <w:r>
        <w:rPr>
          <w:rFonts w:ascii="Times New Roman" w:hAnsi="Times New Roman" w:cs="Times New Roman"/>
          <w:sz w:val="24"/>
          <w:szCs w:val="24"/>
          <w:lang w:val="en-US"/>
        </w:rPr>
        <w:t xml:space="preserve">), being population density, date of first death, proportion of population over 65, beds per 100,000 people, GDP per capita, and household size, yielded no statistically significant coefficients.  However, ranking the maximum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from highest to lowest reveals that the four countries arising from the breakup of Yugoslavia occupy four of the ‘top’ six slots (with an average </w:t>
      </w:r>
      <w:r w:rsidRPr="00BE7A8E">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of 95) and the five Scandinavian countries occupy four of the ‘bottom’ five slots (and have an average </w:t>
      </w:r>
      <w:r w:rsidRPr="00BE7A8E">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of 68).  This suggests that the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choice was in part driven by mimicry of neighbouring countries.  Consistent with this, Sebhatu et al (2020) finds that the speed with which restrictions were adopted by the OECD members was influenced by the behavior of nearby countries.</w:t>
      </w:r>
    </w:p>
    <w:p w14:paraId="421729D6" w14:textId="77777777" w:rsidR="00353D25" w:rsidRDefault="00353D25" w:rsidP="00353D25">
      <w:pPr>
        <w:spacing w:after="0" w:line="360" w:lineRule="auto"/>
        <w:jc w:val="both"/>
        <w:rPr>
          <w:rFonts w:ascii="Times New Roman" w:hAnsi="Times New Roman" w:cs="Times New Roman"/>
          <w:sz w:val="24"/>
          <w:szCs w:val="24"/>
          <w:lang w:val="en-US"/>
        </w:rPr>
      </w:pPr>
    </w:p>
    <w:p w14:paraId="0DACD6CE" w14:textId="77777777" w:rsidR="00353D25" w:rsidRDefault="00353D25" w:rsidP="007E5D2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summary, the cross-sectional regression</w:t>
      </w:r>
      <w:r w:rsidR="007E5D28">
        <w:rPr>
          <w:rFonts w:ascii="Times New Roman" w:hAnsi="Times New Roman" w:cs="Times New Roman"/>
          <w:sz w:val="24"/>
          <w:szCs w:val="24"/>
          <w:lang w:val="en-US"/>
        </w:rPr>
        <w:t xml:space="preserve"> in equations (1</w:t>
      </w:r>
      <w:r>
        <w:rPr>
          <w:rFonts w:ascii="Times New Roman" w:hAnsi="Times New Roman" w:cs="Times New Roman"/>
          <w:sz w:val="24"/>
          <w:szCs w:val="24"/>
          <w:lang w:val="en-US"/>
        </w:rPr>
        <w:t xml:space="preserve">) </w:t>
      </w:r>
      <w:r w:rsidR="007E5D28">
        <w:rPr>
          <w:rFonts w:ascii="Times New Roman" w:hAnsi="Times New Roman" w:cs="Times New Roman"/>
          <w:sz w:val="24"/>
          <w:szCs w:val="24"/>
          <w:lang w:val="en-US"/>
        </w:rPr>
        <w:t xml:space="preserve">does not seem to suffer from reverse causality from </w:t>
      </w:r>
      <w:r w:rsidR="007E5D28" w:rsidRPr="007E5D28">
        <w:rPr>
          <w:rFonts w:ascii="Times New Roman" w:hAnsi="Times New Roman" w:cs="Times New Roman"/>
          <w:i/>
          <w:sz w:val="24"/>
          <w:szCs w:val="24"/>
          <w:lang w:val="en-US"/>
        </w:rPr>
        <w:t>D</w:t>
      </w:r>
      <w:r w:rsidR="007E5D28">
        <w:rPr>
          <w:rFonts w:ascii="Times New Roman" w:hAnsi="Times New Roman" w:cs="Times New Roman"/>
          <w:sz w:val="24"/>
          <w:szCs w:val="24"/>
          <w:lang w:val="en-US"/>
        </w:rPr>
        <w:t xml:space="preserve"> to </w:t>
      </w:r>
      <w:r w:rsidR="007E5D28" w:rsidRPr="007E5D28">
        <w:rPr>
          <w:rFonts w:ascii="Times New Roman" w:hAnsi="Times New Roman" w:cs="Times New Roman"/>
          <w:i/>
          <w:sz w:val="24"/>
          <w:szCs w:val="24"/>
          <w:lang w:val="en-US"/>
        </w:rPr>
        <w:t>S</w:t>
      </w:r>
      <w:r>
        <w:rPr>
          <w:rFonts w:ascii="Times New Roman" w:hAnsi="Times New Roman" w:cs="Times New Roman"/>
          <w:sz w:val="24"/>
          <w:szCs w:val="24"/>
          <w:lang w:val="en-US"/>
        </w:rPr>
        <w:t xml:space="preserve">.  </w:t>
      </w:r>
    </w:p>
    <w:p w14:paraId="3AB94B11" w14:textId="77777777" w:rsidR="00353D25" w:rsidRDefault="00353D25">
      <w:pPr>
        <w:rPr>
          <w:rFonts w:ascii="Times New Roman" w:hAnsi="Times New Roman" w:cs="Times New Roman"/>
          <w:sz w:val="24"/>
          <w:szCs w:val="24"/>
          <w:lang w:val="en-US"/>
        </w:rPr>
      </w:pPr>
    </w:p>
    <w:p w14:paraId="7181A7C9" w14:textId="77777777" w:rsidR="005C79D9" w:rsidRDefault="005C79D9" w:rsidP="005C79D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160EB758" w14:textId="77777777" w:rsidR="001D0FEF" w:rsidRDefault="001D0FEF" w:rsidP="005C79D9">
      <w:pPr>
        <w:spacing w:after="0" w:line="240" w:lineRule="auto"/>
        <w:jc w:val="both"/>
        <w:rPr>
          <w:rFonts w:ascii="Times New Roman" w:hAnsi="Times New Roman" w:cs="Times New Roman"/>
          <w:sz w:val="24"/>
          <w:szCs w:val="24"/>
          <w:lang w:val="en-US"/>
        </w:rPr>
      </w:pPr>
    </w:p>
    <w:p w14:paraId="4D9C5F0B" w14:textId="77777777" w:rsidR="00E919A4" w:rsidRPr="00E919A4" w:rsidRDefault="00E919A4"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Abelson, P., 2008.  “</w:t>
      </w:r>
      <w:r w:rsidRPr="00E919A4">
        <w:rPr>
          <w:rFonts w:ascii="Times New Roman" w:hAnsi="Times New Roman" w:cs="Times New Roman"/>
          <w:sz w:val="24"/>
          <w:szCs w:val="24"/>
          <w:lang w:val="en-US"/>
        </w:rPr>
        <w:t>Establishing a Monetary Value for Lives Saved: Issues and Controversies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Office of Best Practice Regulation</w:t>
      </w:r>
      <w:r>
        <w:rPr>
          <w:rFonts w:ascii="Times New Roman" w:hAnsi="Times New Roman" w:cs="Times New Roman"/>
          <w:sz w:val="24"/>
          <w:szCs w:val="24"/>
          <w:lang w:val="en-US"/>
        </w:rPr>
        <w:t xml:space="preserve">, </w:t>
      </w:r>
      <w:hyperlink r:id="rId10" w:history="1">
        <w:r w:rsidR="00BF3F1C" w:rsidRPr="00B16F98">
          <w:rPr>
            <w:rStyle w:val="Hyperlink"/>
            <w:rFonts w:ascii="Times New Roman" w:hAnsi="Times New Roman" w:cs="Times New Roman"/>
            <w:sz w:val="24"/>
            <w:szCs w:val="24"/>
            <w:lang w:val="en-US"/>
          </w:rPr>
          <w:t>https://www.pmc.gov.au/sites/default/files/publications/Working_paper_2_Peter_Abelson.pdf</w:t>
        </w:r>
      </w:hyperlink>
      <w:r w:rsidR="008B659B">
        <w:rPr>
          <w:rFonts w:ascii="Times New Roman" w:hAnsi="Times New Roman" w:cs="Times New Roman"/>
          <w:sz w:val="24"/>
          <w:szCs w:val="24"/>
          <w:lang w:val="en-US"/>
        </w:rPr>
        <w:t>.</w:t>
      </w:r>
    </w:p>
    <w:p w14:paraId="02F70C0E" w14:textId="77777777" w:rsidR="00E919A4" w:rsidRDefault="00E919A4" w:rsidP="005C79D9">
      <w:pPr>
        <w:spacing w:after="0" w:line="240" w:lineRule="auto"/>
        <w:jc w:val="both"/>
        <w:rPr>
          <w:rFonts w:ascii="Times New Roman" w:hAnsi="Times New Roman" w:cs="Times New Roman"/>
          <w:sz w:val="24"/>
          <w:szCs w:val="24"/>
          <w:lang w:val="en-US"/>
        </w:rPr>
      </w:pPr>
    </w:p>
    <w:p w14:paraId="5A962D81" w14:textId="77777777" w:rsidR="00D83BA9" w:rsidRDefault="00D83BA9" w:rsidP="005C79D9">
      <w:pPr>
        <w:spacing w:after="0" w:line="240" w:lineRule="auto"/>
        <w:jc w:val="both"/>
        <w:rPr>
          <w:rFonts w:ascii="Times New Roman" w:hAnsi="Times New Roman" w:cs="Times New Roman"/>
          <w:sz w:val="24"/>
          <w:szCs w:val="24"/>
          <w:lang w:val="en-US"/>
        </w:rPr>
      </w:pPr>
      <w:r w:rsidRPr="002F671A">
        <w:rPr>
          <w:rFonts w:ascii="Times New Roman" w:hAnsi="Times New Roman" w:cs="Times New Roman"/>
          <w:sz w:val="24"/>
          <w:szCs w:val="24"/>
          <w:lang w:val="en-US"/>
        </w:rPr>
        <w:t xml:space="preserve">Aguas, R., and Corder, R., 2020.  “Herd Immunity Thresholds for SARS-CoV-2 Estimated from Unfolding Epidemics”, </w:t>
      </w:r>
      <w:hyperlink r:id="rId11" w:history="1">
        <w:r w:rsidRPr="002F671A">
          <w:rPr>
            <w:rStyle w:val="Hyperlink"/>
            <w:rFonts w:ascii="Times New Roman" w:hAnsi="Times New Roman" w:cs="Times New Roman"/>
            <w:sz w:val="24"/>
            <w:szCs w:val="24"/>
          </w:rPr>
          <w:t>https://www.medrxiv.org/content/10.1101/2020.07.23.20160762v2</w:t>
        </w:r>
      </w:hyperlink>
      <w:r w:rsidRPr="002F671A">
        <w:rPr>
          <w:rFonts w:ascii="Times New Roman" w:hAnsi="Times New Roman" w:cs="Times New Roman"/>
          <w:sz w:val="24"/>
          <w:szCs w:val="24"/>
        </w:rPr>
        <w:t>.</w:t>
      </w:r>
    </w:p>
    <w:p w14:paraId="4E5CA573" w14:textId="77777777" w:rsidR="0041225B" w:rsidRDefault="0041225B" w:rsidP="0041225B">
      <w:pPr>
        <w:spacing w:after="0" w:line="240" w:lineRule="auto"/>
        <w:jc w:val="both"/>
        <w:rPr>
          <w:rFonts w:ascii="Times New Roman" w:hAnsi="Times New Roman" w:cs="Times New Roman"/>
          <w:b/>
          <w:sz w:val="24"/>
          <w:szCs w:val="24"/>
          <w:lang w:val="en-US"/>
        </w:rPr>
      </w:pPr>
    </w:p>
    <w:p w14:paraId="534419B9" w14:textId="77777777" w:rsidR="0041225B" w:rsidRPr="00DF2A85" w:rsidRDefault="0041225B" w:rsidP="0041225B">
      <w:pPr>
        <w:spacing w:after="0" w:line="240" w:lineRule="auto"/>
        <w:jc w:val="both"/>
        <w:rPr>
          <w:rFonts w:ascii="Times New Roman" w:hAnsi="Times New Roman" w:cs="Times New Roman"/>
          <w:sz w:val="24"/>
          <w:szCs w:val="24"/>
          <w:lang w:val="en-US"/>
        </w:rPr>
      </w:pPr>
      <w:r w:rsidRPr="00DF2A85">
        <w:rPr>
          <w:rFonts w:ascii="Times New Roman" w:hAnsi="Times New Roman" w:cs="Times New Roman"/>
          <w:sz w:val="24"/>
          <w:szCs w:val="24"/>
          <w:lang w:val="en-US"/>
        </w:rPr>
        <w:t xml:space="preserve">Andersen, A., Hansen, E, Johannesen, N., and Sheridan, A., 2020.  “Pandemic, Shutdown, and Consumer Spending: Lessons from Scandinavian Policy Responses to Covid-19”, </w:t>
      </w:r>
      <w:hyperlink r:id="rId12" w:history="1">
        <w:r w:rsidRPr="00C8391E">
          <w:rPr>
            <w:rStyle w:val="Hyperlink"/>
            <w:rFonts w:ascii="Times New Roman" w:hAnsi="Times New Roman" w:cs="Times New Roman"/>
            <w:sz w:val="24"/>
            <w:szCs w:val="24"/>
          </w:rPr>
          <w:t>https://arxiv.org/pdf/2005.04630.pdf</w:t>
        </w:r>
      </w:hyperlink>
      <w:r>
        <w:rPr>
          <w:rFonts w:ascii="Times New Roman" w:hAnsi="Times New Roman" w:cs="Times New Roman"/>
          <w:sz w:val="24"/>
          <w:szCs w:val="24"/>
        </w:rPr>
        <w:t>.</w:t>
      </w:r>
    </w:p>
    <w:p w14:paraId="769BAC17" w14:textId="77777777" w:rsidR="0041225B" w:rsidRDefault="0041225B" w:rsidP="004D7FC8">
      <w:pPr>
        <w:spacing w:after="0" w:line="240" w:lineRule="auto"/>
        <w:jc w:val="both"/>
        <w:rPr>
          <w:rFonts w:ascii="Times New Roman" w:hAnsi="Times New Roman" w:cs="Times New Roman"/>
          <w:b/>
          <w:sz w:val="24"/>
          <w:szCs w:val="24"/>
          <w:lang w:val="en-US"/>
        </w:rPr>
      </w:pPr>
    </w:p>
    <w:p w14:paraId="4D25DF0C" w14:textId="77777777" w:rsidR="004D7FC8" w:rsidRPr="00F50014" w:rsidRDefault="004D7FC8" w:rsidP="004D7FC8">
      <w:pPr>
        <w:spacing w:after="0" w:line="240" w:lineRule="auto"/>
        <w:jc w:val="both"/>
        <w:rPr>
          <w:rFonts w:ascii="Times New Roman" w:hAnsi="Times New Roman" w:cs="Times New Roman"/>
          <w:sz w:val="24"/>
          <w:szCs w:val="24"/>
          <w:lang w:val="en-US"/>
        </w:rPr>
      </w:pPr>
      <w:r w:rsidRPr="00F50014">
        <w:rPr>
          <w:rFonts w:ascii="Times New Roman" w:hAnsi="Times New Roman" w:cs="Times New Roman"/>
          <w:sz w:val="24"/>
          <w:szCs w:val="24"/>
          <w:lang w:val="en-US"/>
        </w:rPr>
        <w:t xml:space="preserve">Arnold, </w:t>
      </w:r>
      <w:r>
        <w:rPr>
          <w:rFonts w:ascii="Times New Roman" w:hAnsi="Times New Roman" w:cs="Times New Roman"/>
          <w:sz w:val="24"/>
          <w:szCs w:val="24"/>
          <w:lang w:val="en-US"/>
        </w:rPr>
        <w:t xml:space="preserve">D., and Hamilton, F., 2020.  “Patient Outcomes after </w:t>
      </w:r>
      <w:proofErr w:type="spellStart"/>
      <w:r>
        <w:rPr>
          <w:rFonts w:ascii="Times New Roman" w:hAnsi="Times New Roman" w:cs="Times New Roman"/>
          <w:sz w:val="24"/>
          <w:szCs w:val="24"/>
          <w:lang w:val="en-US"/>
        </w:rPr>
        <w:t>Hospitalisation</w:t>
      </w:r>
      <w:proofErr w:type="spellEnd"/>
      <w:r>
        <w:rPr>
          <w:rFonts w:ascii="Times New Roman" w:hAnsi="Times New Roman" w:cs="Times New Roman"/>
          <w:sz w:val="24"/>
          <w:szCs w:val="24"/>
          <w:lang w:val="en-US"/>
        </w:rPr>
        <w:t xml:space="preserve"> with Covid-19 and Implications for Follow-Up: Results from a Prospective UK Cohort”, </w:t>
      </w:r>
      <w:hyperlink r:id="rId13" w:history="1">
        <w:r w:rsidRPr="00C8391E">
          <w:rPr>
            <w:rStyle w:val="Hyperlink"/>
            <w:rFonts w:ascii="Times New Roman" w:hAnsi="Times New Roman" w:cs="Times New Roman"/>
            <w:sz w:val="24"/>
            <w:szCs w:val="24"/>
            <w:lang w:val="en-US"/>
          </w:rPr>
          <w:t>https://www.medrxiv.org/content/medrxiv/early/2020/08/14/2020.08.12.20173526.full.pdf</w:t>
        </w:r>
      </w:hyperlink>
      <w:r>
        <w:rPr>
          <w:rFonts w:ascii="Times New Roman" w:hAnsi="Times New Roman" w:cs="Times New Roman"/>
          <w:sz w:val="24"/>
          <w:szCs w:val="24"/>
          <w:lang w:val="en-US"/>
        </w:rPr>
        <w:t>.</w:t>
      </w:r>
    </w:p>
    <w:p w14:paraId="40EAB064" w14:textId="77777777" w:rsidR="00D83BA9" w:rsidRDefault="00D83BA9" w:rsidP="005C79D9">
      <w:pPr>
        <w:spacing w:after="0" w:line="240" w:lineRule="auto"/>
        <w:jc w:val="both"/>
        <w:rPr>
          <w:rFonts w:ascii="Times New Roman" w:hAnsi="Times New Roman" w:cs="Times New Roman"/>
          <w:sz w:val="24"/>
          <w:szCs w:val="24"/>
          <w:lang w:val="en-US"/>
        </w:rPr>
      </w:pPr>
    </w:p>
    <w:p w14:paraId="067DCECA" w14:textId="77777777" w:rsidR="00B21B28" w:rsidRDefault="00B21B28"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Aum, S., Lee, S., and Shin, Y., 2020.  “Covid-19 Doesn’t Need Lockdowns to Destroy Jobs: The </w:t>
      </w:r>
      <w:r w:rsidR="00DF5B35">
        <w:rPr>
          <w:rFonts w:ascii="Times New Roman" w:hAnsi="Times New Roman" w:cs="Times New Roman"/>
          <w:sz w:val="24"/>
          <w:szCs w:val="24"/>
          <w:lang w:val="en-US"/>
        </w:rPr>
        <w:t>Effect of Local Outbreaks in Ko</w:t>
      </w:r>
      <w:r>
        <w:rPr>
          <w:rFonts w:ascii="Times New Roman" w:hAnsi="Times New Roman" w:cs="Times New Roman"/>
          <w:sz w:val="24"/>
          <w:szCs w:val="24"/>
          <w:lang w:val="en-US"/>
        </w:rPr>
        <w:t xml:space="preserve">rea”, NBER working paper, </w:t>
      </w:r>
      <w:hyperlink r:id="rId14" w:history="1">
        <w:r w:rsidRPr="00A80045">
          <w:rPr>
            <w:rStyle w:val="Hyperlink"/>
            <w:rFonts w:ascii="Times New Roman" w:hAnsi="Times New Roman" w:cs="Times New Roman"/>
            <w:sz w:val="24"/>
            <w:szCs w:val="24"/>
            <w:lang w:val="en-US"/>
          </w:rPr>
          <w:t>https://www.nber.org/system/files/working_papers/w27264/w27264.pdf</w:t>
        </w:r>
      </w:hyperlink>
      <w:r>
        <w:rPr>
          <w:rFonts w:ascii="Times New Roman" w:hAnsi="Times New Roman" w:cs="Times New Roman"/>
          <w:sz w:val="24"/>
          <w:szCs w:val="24"/>
          <w:lang w:val="en-US"/>
        </w:rPr>
        <w:t>.</w:t>
      </w:r>
    </w:p>
    <w:p w14:paraId="2372C26C" w14:textId="77777777" w:rsidR="00B21B28" w:rsidRDefault="00B21B28" w:rsidP="005C79D9">
      <w:pPr>
        <w:spacing w:after="0" w:line="240" w:lineRule="auto"/>
        <w:jc w:val="both"/>
        <w:rPr>
          <w:rFonts w:ascii="Times New Roman" w:hAnsi="Times New Roman" w:cs="Times New Roman"/>
          <w:sz w:val="24"/>
          <w:szCs w:val="24"/>
          <w:lang w:val="en-US"/>
        </w:rPr>
      </w:pPr>
    </w:p>
    <w:p w14:paraId="04997511" w14:textId="77777777" w:rsidR="006573BA" w:rsidRDefault="006573BA"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Australian T</w:t>
      </w:r>
      <w:r w:rsidR="00D15E85">
        <w:rPr>
          <w:rFonts w:ascii="Times New Roman" w:hAnsi="Times New Roman" w:cs="Times New Roman"/>
          <w:sz w:val="24"/>
          <w:szCs w:val="24"/>
          <w:lang w:val="en-US"/>
        </w:rPr>
        <w:t xml:space="preserve">reasury, </w:t>
      </w:r>
      <w:r w:rsidR="004A7809">
        <w:rPr>
          <w:rFonts w:ascii="Times New Roman" w:hAnsi="Times New Roman" w:cs="Times New Roman"/>
          <w:sz w:val="24"/>
          <w:szCs w:val="24"/>
          <w:lang w:val="en-US"/>
        </w:rPr>
        <w:t>2019</w:t>
      </w:r>
      <w:r>
        <w:rPr>
          <w:rFonts w:ascii="Times New Roman" w:hAnsi="Times New Roman" w:cs="Times New Roman"/>
          <w:sz w:val="24"/>
          <w:szCs w:val="24"/>
          <w:lang w:val="en-US"/>
        </w:rPr>
        <w:t xml:space="preserve">.  </w:t>
      </w:r>
      <w:r w:rsidR="004A7809">
        <w:rPr>
          <w:rFonts w:ascii="Times New Roman" w:hAnsi="Times New Roman" w:cs="Times New Roman"/>
          <w:i/>
          <w:sz w:val="24"/>
          <w:szCs w:val="24"/>
          <w:lang w:val="en-US"/>
        </w:rPr>
        <w:t>Mid-Year Economic and Fiscal Outlook</w:t>
      </w:r>
      <w:r w:rsidR="003A48FB">
        <w:rPr>
          <w:rFonts w:ascii="Times New Roman" w:hAnsi="Times New Roman" w:cs="Times New Roman"/>
          <w:i/>
          <w:sz w:val="24"/>
          <w:szCs w:val="24"/>
          <w:lang w:val="en-US"/>
        </w:rPr>
        <w:t xml:space="preserve"> 2019-20</w:t>
      </w:r>
      <w:r w:rsidR="004A7809">
        <w:rPr>
          <w:rFonts w:ascii="Times New Roman" w:hAnsi="Times New Roman" w:cs="Times New Roman"/>
          <w:sz w:val="24"/>
          <w:szCs w:val="24"/>
          <w:lang w:val="en-US"/>
        </w:rPr>
        <w:t xml:space="preserve">, </w:t>
      </w:r>
      <w:hyperlink r:id="rId15" w:history="1">
        <w:r w:rsidR="004A7809" w:rsidRPr="004279D9">
          <w:rPr>
            <w:rStyle w:val="Hyperlink"/>
            <w:rFonts w:ascii="Times New Roman" w:hAnsi="Times New Roman" w:cs="Times New Roman"/>
            <w:sz w:val="24"/>
            <w:szCs w:val="24"/>
            <w:lang w:val="en-US"/>
          </w:rPr>
          <w:t>https://budget.gov.au/2019-20/content/myefo/download/01_Part_1.pdf</w:t>
        </w:r>
      </w:hyperlink>
      <w:r w:rsidR="004A7809">
        <w:rPr>
          <w:rFonts w:ascii="Times New Roman" w:hAnsi="Times New Roman" w:cs="Times New Roman"/>
          <w:sz w:val="24"/>
          <w:szCs w:val="24"/>
          <w:lang w:val="en-US"/>
        </w:rPr>
        <w:t>.</w:t>
      </w:r>
    </w:p>
    <w:p w14:paraId="0E2CB9C3" w14:textId="77777777" w:rsidR="003A48FB" w:rsidRDefault="003A48FB" w:rsidP="005C79D9">
      <w:pPr>
        <w:spacing w:after="0" w:line="240" w:lineRule="auto"/>
        <w:jc w:val="both"/>
        <w:rPr>
          <w:rFonts w:ascii="Times New Roman" w:hAnsi="Times New Roman" w:cs="Times New Roman"/>
          <w:sz w:val="24"/>
          <w:szCs w:val="24"/>
          <w:lang w:val="en-US"/>
        </w:rPr>
      </w:pPr>
    </w:p>
    <w:p w14:paraId="64DF243C" w14:textId="77777777" w:rsidR="003A48FB" w:rsidRPr="003A48FB" w:rsidRDefault="003A48FB"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 2020.  </w:t>
      </w:r>
      <w:r>
        <w:rPr>
          <w:rFonts w:ascii="Times New Roman" w:hAnsi="Times New Roman" w:cs="Times New Roman"/>
          <w:i/>
          <w:sz w:val="24"/>
          <w:szCs w:val="24"/>
          <w:lang w:val="en-US"/>
        </w:rPr>
        <w:t xml:space="preserve">Mid-Year Economic and Fiscal Outlook </w:t>
      </w:r>
      <w:r w:rsidR="002F1FAE">
        <w:rPr>
          <w:rFonts w:ascii="Times New Roman" w:hAnsi="Times New Roman" w:cs="Times New Roman"/>
          <w:i/>
          <w:sz w:val="24"/>
          <w:szCs w:val="24"/>
          <w:lang w:val="en-US"/>
        </w:rPr>
        <w:t>2020</w:t>
      </w:r>
      <w:r>
        <w:rPr>
          <w:rFonts w:ascii="Times New Roman" w:hAnsi="Times New Roman" w:cs="Times New Roman"/>
          <w:i/>
          <w:sz w:val="24"/>
          <w:szCs w:val="24"/>
          <w:lang w:val="en-US"/>
        </w:rPr>
        <w:t>-21</w:t>
      </w:r>
      <w:r>
        <w:rPr>
          <w:rFonts w:ascii="Times New Roman" w:hAnsi="Times New Roman" w:cs="Times New Roman"/>
          <w:sz w:val="24"/>
          <w:szCs w:val="24"/>
          <w:lang w:val="en-US"/>
        </w:rPr>
        <w:t xml:space="preserve">, </w:t>
      </w:r>
      <w:hyperlink r:id="rId16" w:history="1">
        <w:r w:rsidRPr="004279D9">
          <w:rPr>
            <w:rStyle w:val="Hyperlink"/>
            <w:rFonts w:ascii="Times New Roman" w:hAnsi="Times New Roman" w:cs="Times New Roman"/>
            <w:sz w:val="24"/>
            <w:szCs w:val="24"/>
            <w:lang w:val="en-US"/>
          </w:rPr>
          <w:t>https://budget.gov.au/2020-21/content/myefo/download/01_part_1.pdf</w:t>
        </w:r>
      </w:hyperlink>
      <w:r>
        <w:rPr>
          <w:rFonts w:ascii="Times New Roman" w:hAnsi="Times New Roman" w:cs="Times New Roman"/>
          <w:sz w:val="24"/>
          <w:szCs w:val="24"/>
          <w:lang w:val="en-US"/>
        </w:rPr>
        <w:t>.</w:t>
      </w:r>
    </w:p>
    <w:p w14:paraId="5F7E0D0D" w14:textId="77777777" w:rsidR="006573BA" w:rsidRDefault="006573BA" w:rsidP="005C79D9">
      <w:pPr>
        <w:spacing w:after="0" w:line="240" w:lineRule="auto"/>
        <w:jc w:val="both"/>
        <w:rPr>
          <w:rFonts w:ascii="Times New Roman" w:hAnsi="Times New Roman" w:cs="Times New Roman"/>
          <w:sz w:val="24"/>
          <w:szCs w:val="24"/>
          <w:lang w:val="en-US"/>
        </w:rPr>
      </w:pPr>
    </w:p>
    <w:p w14:paraId="01C7A436" w14:textId="77777777" w:rsidR="005856DD" w:rsidRDefault="005856DD"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Bailey, </w:t>
      </w:r>
      <w:r w:rsidR="0067167C">
        <w:rPr>
          <w:rFonts w:ascii="Times New Roman" w:hAnsi="Times New Roman" w:cs="Times New Roman"/>
          <w:sz w:val="24"/>
          <w:szCs w:val="24"/>
          <w:lang w:val="en-US"/>
        </w:rPr>
        <w:t xml:space="preserve">N., </w:t>
      </w:r>
      <w:r w:rsidR="009557B6">
        <w:rPr>
          <w:rFonts w:ascii="Times New Roman" w:hAnsi="Times New Roman" w:cs="Times New Roman"/>
          <w:sz w:val="24"/>
          <w:szCs w:val="24"/>
          <w:lang w:val="en-US"/>
        </w:rPr>
        <w:t>and West, D., 2020</w:t>
      </w:r>
      <w:r w:rsidR="0067167C">
        <w:rPr>
          <w:rFonts w:ascii="Times New Roman" w:hAnsi="Times New Roman" w:cs="Times New Roman"/>
          <w:sz w:val="24"/>
          <w:szCs w:val="24"/>
          <w:lang w:val="en-US"/>
        </w:rPr>
        <w:t>.  “</w:t>
      </w:r>
      <w:r w:rsidR="009557B6">
        <w:rPr>
          <w:rFonts w:ascii="Times New Roman" w:hAnsi="Times New Roman" w:cs="Times New Roman"/>
          <w:sz w:val="24"/>
          <w:szCs w:val="24"/>
          <w:lang w:val="en-US"/>
        </w:rPr>
        <w:t>Are the Covid19 Restrictions Really Worth the Cost</w:t>
      </w:r>
      <w:r w:rsidR="0067167C">
        <w:rPr>
          <w:rFonts w:ascii="Times New Roman" w:hAnsi="Times New Roman" w:cs="Times New Roman"/>
          <w:sz w:val="24"/>
          <w:szCs w:val="24"/>
          <w:lang w:val="en-US"/>
        </w:rPr>
        <w:t xml:space="preserve">”, </w:t>
      </w:r>
      <w:hyperlink r:id="rId17" w:history="1">
        <w:r w:rsidR="009557B6" w:rsidRPr="008274E0">
          <w:rPr>
            <w:rStyle w:val="Hyperlink"/>
            <w:rFonts w:ascii="Times New Roman" w:hAnsi="Times New Roman" w:cs="Times New Roman"/>
            <w:sz w:val="24"/>
            <w:szCs w:val="24"/>
            <w:lang w:val="en-US"/>
          </w:rPr>
          <w:t>https://arxiv.org/abs/2005.03491</w:t>
        </w:r>
      </w:hyperlink>
      <w:r w:rsidR="009557B6">
        <w:rPr>
          <w:rFonts w:ascii="Times New Roman" w:hAnsi="Times New Roman" w:cs="Times New Roman"/>
          <w:sz w:val="24"/>
          <w:szCs w:val="24"/>
          <w:lang w:val="en-US"/>
        </w:rPr>
        <w:t>.</w:t>
      </w:r>
    </w:p>
    <w:p w14:paraId="62F36217" w14:textId="77777777" w:rsidR="00487628" w:rsidRDefault="00487628" w:rsidP="00487628">
      <w:pPr>
        <w:spacing w:after="0" w:line="240" w:lineRule="auto"/>
        <w:jc w:val="both"/>
        <w:rPr>
          <w:rFonts w:ascii="Times New Roman" w:hAnsi="Times New Roman" w:cs="Times New Roman"/>
          <w:b/>
          <w:sz w:val="24"/>
          <w:szCs w:val="24"/>
          <w:lang w:val="en-US"/>
        </w:rPr>
      </w:pPr>
    </w:p>
    <w:p w14:paraId="2E06E839" w14:textId="77777777" w:rsidR="00487628" w:rsidRPr="002E5A66" w:rsidRDefault="00487628" w:rsidP="00487628">
      <w:pPr>
        <w:spacing w:after="0" w:line="240" w:lineRule="auto"/>
        <w:jc w:val="both"/>
        <w:rPr>
          <w:rFonts w:ascii="Times New Roman" w:hAnsi="Times New Roman" w:cs="Times New Roman"/>
          <w:sz w:val="24"/>
          <w:szCs w:val="24"/>
          <w:lang w:val="en-US"/>
        </w:rPr>
      </w:pPr>
      <w:r w:rsidRPr="002E5A66">
        <w:rPr>
          <w:rFonts w:ascii="Times New Roman" w:hAnsi="Times New Roman" w:cs="Times New Roman"/>
          <w:sz w:val="24"/>
          <w:szCs w:val="24"/>
          <w:lang w:val="en-US"/>
        </w:rPr>
        <w:t>B</w:t>
      </w:r>
      <w:r>
        <w:rPr>
          <w:rFonts w:ascii="Times New Roman" w:hAnsi="Times New Roman" w:cs="Times New Roman"/>
          <w:sz w:val="24"/>
          <w:szCs w:val="24"/>
          <w:lang w:val="en-US"/>
        </w:rPr>
        <w:t xml:space="preserve">eaudet, A., Clegg, J., Thuresson, P., Lloyd, A., and MacEwan, P., 2020.  “Review of Utility Values for Economic Modelling in Type 2 Diabetes”, </w:t>
      </w:r>
      <w:r>
        <w:rPr>
          <w:rFonts w:ascii="Times New Roman" w:hAnsi="Times New Roman" w:cs="Times New Roman"/>
          <w:i/>
          <w:sz w:val="24"/>
          <w:szCs w:val="24"/>
          <w:lang w:val="en-US"/>
        </w:rPr>
        <w:t>Value in Health</w:t>
      </w:r>
      <w:r>
        <w:rPr>
          <w:rFonts w:ascii="Times New Roman" w:hAnsi="Times New Roman" w:cs="Times New Roman"/>
          <w:sz w:val="24"/>
          <w:szCs w:val="24"/>
          <w:lang w:val="en-US"/>
        </w:rPr>
        <w:t xml:space="preserve">, vol. 17, pp. 462-470, </w:t>
      </w:r>
      <w:hyperlink r:id="rId18" w:history="1">
        <w:r w:rsidRPr="00B1017F">
          <w:rPr>
            <w:rStyle w:val="Hyperlink"/>
            <w:rFonts w:ascii="Times New Roman" w:hAnsi="Times New Roman" w:cs="Times New Roman"/>
            <w:sz w:val="24"/>
            <w:szCs w:val="24"/>
            <w:lang w:val="en-US"/>
          </w:rPr>
          <w:t>https://www.valueinhealthjournal.com/article/S1098-3015%2814%2900054-0/fulltext</w:t>
        </w:r>
      </w:hyperlink>
      <w:r>
        <w:rPr>
          <w:rFonts w:ascii="Times New Roman" w:hAnsi="Times New Roman" w:cs="Times New Roman"/>
          <w:sz w:val="24"/>
          <w:szCs w:val="24"/>
          <w:lang w:val="en-US"/>
        </w:rPr>
        <w:t>.</w:t>
      </w:r>
    </w:p>
    <w:p w14:paraId="5A079159" w14:textId="77777777" w:rsidR="009557B6" w:rsidRDefault="009557B6" w:rsidP="005C79D9">
      <w:pPr>
        <w:spacing w:after="0" w:line="240" w:lineRule="auto"/>
        <w:jc w:val="both"/>
        <w:rPr>
          <w:rFonts w:ascii="Times New Roman" w:hAnsi="Times New Roman" w:cs="Times New Roman"/>
          <w:b/>
          <w:sz w:val="24"/>
          <w:szCs w:val="24"/>
          <w:lang w:val="en-US"/>
        </w:rPr>
      </w:pPr>
    </w:p>
    <w:p w14:paraId="6F5FD779" w14:textId="77777777" w:rsidR="008E6586" w:rsidRPr="008E6586" w:rsidRDefault="008E6586" w:rsidP="005C79D9">
      <w:pPr>
        <w:spacing w:after="0" w:line="240" w:lineRule="auto"/>
        <w:jc w:val="both"/>
        <w:rPr>
          <w:rFonts w:ascii="Times New Roman" w:hAnsi="Times New Roman" w:cs="Times New Roman"/>
          <w:sz w:val="24"/>
          <w:szCs w:val="24"/>
          <w:lang w:val="en-US"/>
        </w:rPr>
      </w:pPr>
      <w:r w:rsidRPr="008E6586">
        <w:rPr>
          <w:rFonts w:ascii="Times New Roman" w:hAnsi="Times New Roman" w:cs="Times New Roman"/>
          <w:sz w:val="24"/>
          <w:szCs w:val="24"/>
          <w:lang w:val="en-US"/>
        </w:rPr>
        <w:t xml:space="preserve">Bertram, M., </w:t>
      </w:r>
      <w:r>
        <w:rPr>
          <w:rFonts w:ascii="Times New Roman" w:hAnsi="Times New Roman" w:cs="Times New Roman"/>
          <w:sz w:val="24"/>
          <w:szCs w:val="24"/>
          <w:lang w:val="en-US"/>
        </w:rPr>
        <w:t xml:space="preserve">Lauer, J., and Hill, S., 2016.  “Cost-Effectiveness Thresholds: Pros and Cons”, </w:t>
      </w:r>
      <w:r>
        <w:rPr>
          <w:rFonts w:ascii="Times New Roman" w:hAnsi="Times New Roman" w:cs="Times New Roman"/>
          <w:i/>
          <w:sz w:val="24"/>
          <w:szCs w:val="24"/>
          <w:lang w:val="en-US"/>
        </w:rPr>
        <w:t xml:space="preserve">Bulletin of the World Health </w:t>
      </w:r>
      <w:proofErr w:type="spellStart"/>
      <w:r>
        <w:rPr>
          <w:rFonts w:ascii="Times New Roman" w:hAnsi="Times New Roman" w:cs="Times New Roman"/>
          <w:i/>
          <w:sz w:val="24"/>
          <w:szCs w:val="24"/>
          <w:lang w:val="en-US"/>
        </w:rPr>
        <w:t>Organisation</w:t>
      </w:r>
      <w:proofErr w:type="spellEnd"/>
      <w:r w:rsidRPr="008E6586">
        <w:rPr>
          <w:rFonts w:ascii="Times New Roman" w:hAnsi="Times New Roman" w:cs="Times New Roman"/>
          <w:sz w:val="24"/>
          <w:szCs w:val="24"/>
          <w:lang w:val="en-US"/>
        </w:rPr>
        <w:t xml:space="preserve">,  </w:t>
      </w:r>
      <w:hyperlink r:id="rId19" w:history="1">
        <w:r w:rsidRPr="008E6586">
          <w:rPr>
            <w:rStyle w:val="Hyperlink"/>
            <w:rFonts w:ascii="Times New Roman" w:hAnsi="Times New Roman" w:cs="Times New Roman"/>
            <w:sz w:val="24"/>
            <w:szCs w:val="24"/>
            <w:lang w:val="en-US"/>
          </w:rPr>
          <w:t>https://www.who.int/bulletin/volumes/94/12/15-164418/en/</w:t>
        </w:r>
      </w:hyperlink>
      <w:r w:rsidRPr="008E6586">
        <w:rPr>
          <w:rFonts w:ascii="Times New Roman" w:hAnsi="Times New Roman" w:cs="Times New Roman"/>
          <w:sz w:val="24"/>
          <w:szCs w:val="24"/>
          <w:lang w:val="en-US"/>
        </w:rPr>
        <w:t>.</w:t>
      </w:r>
    </w:p>
    <w:p w14:paraId="4ADA3C7C" w14:textId="77777777" w:rsidR="008E6586" w:rsidRDefault="008E6586" w:rsidP="005C79D9">
      <w:pPr>
        <w:spacing w:after="0" w:line="240" w:lineRule="auto"/>
        <w:jc w:val="both"/>
        <w:rPr>
          <w:rFonts w:ascii="Times New Roman" w:hAnsi="Times New Roman" w:cs="Times New Roman"/>
          <w:b/>
          <w:sz w:val="24"/>
          <w:szCs w:val="24"/>
          <w:lang w:val="en-US"/>
        </w:rPr>
      </w:pPr>
    </w:p>
    <w:p w14:paraId="314F40E2" w14:textId="77777777" w:rsidR="009A7AAE" w:rsidRDefault="009A7AAE" w:rsidP="005C79D9">
      <w:pPr>
        <w:spacing w:after="0" w:line="240" w:lineRule="auto"/>
        <w:jc w:val="both"/>
        <w:rPr>
          <w:rFonts w:ascii="Times New Roman" w:hAnsi="Times New Roman" w:cs="Times New Roman"/>
          <w:sz w:val="24"/>
          <w:szCs w:val="24"/>
          <w:lang w:val="en-US"/>
        </w:rPr>
      </w:pPr>
      <w:r w:rsidRPr="009A7AAE">
        <w:rPr>
          <w:rFonts w:ascii="Times New Roman" w:hAnsi="Times New Roman" w:cs="Times New Roman"/>
          <w:sz w:val="24"/>
          <w:szCs w:val="24"/>
          <w:lang w:val="en-US"/>
        </w:rPr>
        <w:t xml:space="preserve">Blakely, </w:t>
      </w:r>
      <w:r>
        <w:rPr>
          <w:rFonts w:ascii="Times New Roman" w:hAnsi="Times New Roman" w:cs="Times New Roman"/>
          <w:sz w:val="24"/>
          <w:szCs w:val="24"/>
          <w:lang w:val="en-US"/>
        </w:rPr>
        <w:t xml:space="preserve">T., and N. Wilson., </w:t>
      </w:r>
      <w:r w:rsidR="002F1220">
        <w:rPr>
          <w:rFonts w:ascii="Times New Roman" w:hAnsi="Times New Roman" w:cs="Times New Roman"/>
          <w:sz w:val="24"/>
          <w:szCs w:val="24"/>
          <w:lang w:val="en-US"/>
        </w:rPr>
        <w:t>“</w:t>
      </w:r>
      <w:r w:rsidRPr="009A7AAE">
        <w:rPr>
          <w:rFonts w:ascii="Times New Roman" w:hAnsi="Times New Roman" w:cs="Times New Roman"/>
          <w:sz w:val="24"/>
          <w:szCs w:val="24"/>
          <w:lang w:val="en-US"/>
        </w:rPr>
        <w:t xml:space="preserve">The </w:t>
      </w:r>
      <w:proofErr w:type="spellStart"/>
      <w:r w:rsidRPr="009A7AAE">
        <w:rPr>
          <w:rFonts w:ascii="Times New Roman" w:hAnsi="Times New Roman" w:cs="Times New Roman"/>
          <w:sz w:val="24"/>
          <w:szCs w:val="24"/>
          <w:lang w:val="en-US"/>
        </w:rPr>
        <w:t>Maths</w:t>
      </w:r>
      <w:proofErr w:type="spellEnd"/>
      <w:r w:rsidRPr="009A7AAE">
        <w:rPr>
          <w:rFonts w:ascii="Times New Roman" w:hAnsi="Times New Roman" w:cs="Times New Roman"/>
          <w:sz w:val="24"/>
          <w:szCs w:val="24"/>
          <w:lang w:val="en-US"/>
        </w:rPr>
        <w:t xml:space="preserve"> and Ethics of </w:t>
      </w:r>
      <w:r w:rsidR="00440992">
        <w:rPr>
          <w:rFonts w:ascii="Times New Roman" w:hAnsi="Times New Roman" w:cs="Times New Roman"/>
          <w:sz w:val="24"/>
          <w:szCs w:val="24"/>
          <w:lang w:val="en-US"/>
        </w:rPr>
        <w:t>Minimising Covid-19 Deaths</w:t>
      </w:r>
      <w:r w:rsidR="002F12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20" w:history="1">
        <w:r w:rsidR="005856DD" w:rsidRPr="00F466C9">
          <w:rPr>
            <w:rStyle w:val="Hyperlink"/>
            <w:rFonts w:ascii="Times New Roman" w:hAnsi="Times New Roman" w:cs="Times New Roman"/>
            <w:sz w:val="24"/>
            <w:szCs w:val="24"/>
            <w:lang w:val="en-US"/>
          </w:rPr>
          <w:t>https://pursuit.unimelb.edu.au/articles/the-maths-and-ethics-of-minimising-covid-19-deaths</w:t>
        </w:r>
      </w:hyperlink>
      <w:r w:rsidR="005856DD">
        <w:rPr>
          <w:rFonts w:ascii="Times New Roman" w:hAnsi="Times New Roman" w:cs="Times New Roman"/>
          <w:sz w:val="24"/>
          <w:szCs w:val="24"/>
          <w:lang w:val="en-US"/>
        </w:rPr>
        <w:t>.</w:t>
      </w:r>
    </w:p>
    <w:p w14:paraId="4878DDCA" w14:textId="77777777" w:rsidR="00DA000E" w:rsidRDefault="00DA000E" w:rsidP="00DA000E">
      <w:pPr>
        <w:spacing w:after="0" w:line="240" w:lineRule="auto"/>
        <w:jc w:val="both"/>
        <w:rPr>
          <w:rFonts w:ascii="Times New Roman" w:hAnsi="Times New Roman" w:cs="Times New Roman"/>
          <w:b/>
          <w:sz w:val="24"/>
          <w:szCs w:val="24"/>
          <w:lang w:val="en-US"/>
        </w:rPr>
      </w:pPr>
    </w:p>
    <w:p w14:paraId="5FE1775B" w14:textId="77777777" w:rsidR="00DA000E" w:rsidRPr="009A7AAE" w:rsidRDefault="00DA000E" w:rsidP="00DA00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 Baker, M., and N. Wilson., “</w:t>
      </w:r>
      <w:r w:rsidRPr="009A7AAE">
        <w:rPr>
          <w:rFonts w:ascii="Times New Roman" w:hAnsi="Times New Roman" w:cs="Times New Roman"/>
          <w:sz w:val="24"/>
          <w:szCs w:val="24"/>
          <w:lang w:val="en-US"/>
        </w:rPr>
        <w:t xml:space="preserve">The </w:t>
      </w:r>
      <w:proofErr w:type="spellStart"/>
      <w:r w:rsidRPr="009A7AAE">
        <w:rPr>
          <w:rFonts w:ascii="Times New Roman" w:hAnsi="Times New Roman" w:cs="Times New Roman"/>
          <w:sz w:val="24"/>
          <w:szCs w:val="24"/>
          <w:lang w:val="en-US"/>
        </w:rPr>
        <w:t>Maths</w:t>
      </w:r>
      <w:proofErr w:type="spellEnd"/>
      <w:r w:rsidRPr="009A7AAE">
        <w:rPr>
          <w:rFonts w:ascii="Times New Roman" w:hAnsi="Times New Roman" w:cs="Times New Roman"/>
          <w:sz w:val="24"/>
          <w:szCs w:val="24"/>
          <w:lang w:val="en-US"/>
        </w:rPr>
        <w:t xml:space="preserve"> and Ethics of Minimising Covid-19 Deaths in NZ</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Public Health Expert 23/3/2020</w:t>
      </w:r>
      <w:r w:rsidRPr="009A7AAE">
        <w:rPr>
          <w:rFonts w:ascii="Times New Roman" w:hAnsi="Times New Roman" w:cs="Times New Roman"/>
          <w:sz w:val="24"/>
          <w:szCs w:val="24"/>
          <w:lang w:val="en-US"/>
        </w:rPr>
        <w:t xml:space="preserve"> </w:t>
      </w:r>
      <w:hyperlink r:id="rId21" w:history="1">
        <w:r w:rsidRPr="009A7AAE">
          <w:rPr>
            <w:rStyle w:val="Hyperlink"/>
            <w:rFonts w:ascii="Times New Roman" w:hAnsi="Times New Roman" w:cs="Times New Roman"/>
            <w:sz w:val="24"/>
            <w:szCs w:val="24"/>
          </w:rPr>
          <w:t>https://sciblogs.co.nz/public-health-expert/2020/03/23/the-maths-and-ethics-of-minimising-covid-19-deaths-in-nz/</w:t>
        </w:r>
      </w:hyperlink>
      <w:r>
        <w:rPr>
          <w:rFonts w:ascii="Times New Roman" w:hAnsi="Times New Roman" w:cs="Times New Roman"/>
          <w:sz w:val="24"/>
          <w:szCs w:val="24"/>
        </w:rPr>
        <w:t>.</w:t>
      </w:r>
    </w:p>
    <w:p w14:paraId="67ACCA41" w14:textId="77777777" w:rsidR="00431205" w:rsidRDefault="00431205" w:rsidP="00431205">
      <w:pPr>
        <w:spacing w:after="0" w:line="240" w:lineRule="auto"/>
        <w:jc w:val="both"/>
        <w:rPr>
          <w:rFonts w:ascii="Times New Roman" w:hAnsi="Times New Roman" w:cs="Times New Roman"/>
          <w:b/>
          <w:sz w:val="24"/>
          <w:szCs w:val="24"/>
          <w:lang w:val="en-US"/>
        </w:rPr>
      </w:pPr>
    </w:p>
    <w:p w14:paraId="6AD8048A" w14:textId="77777777" w:rsidR="00431205" w:rsidRDefault="00431205" w:rsidP="004312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Boyd, M., 2020.  “The Stakes of Mismanaging Covid-19: Modelling the Possible Health System and Long-Term Economic Impacts in New Zealand using Treasury’s CBAX Method”, working paper, </w:t>
      </w:r>
      <w:hyperlink r:id="rId22" w:history="1">
        <w:r w:rsidRPr="001C23E2">
          <w:rPr>
            <w:rStyle w:val="Hyperlink"/>
            <w:rFonts w:ascii="Times New Roman" w:hAnsi="Times New Roman" w:cs="Times New Roman"/>
            <w:sz w:val="24"/>
            <w:szCs w:val="24"/>
            <w:lang w:val="en-US"/>
          </w:rPr>
          <w:t>https://adaptresearch.files.wordpress.com/2020/03/200318_v2_manuscript-modelling-the-economic-impact-of-covid_19.pdf</w:t>
        </w:r>
      </w:hyperlink>
      <w:r>
        <w:rPr>
          <w:rFonts w:ascii="Times New Roman" w:hAnsi="Times New Roman" w:cs="Times New Roman"/>
          <w:sz w:val="24"/>
          <w:szCs w:val="24"/>
          <w:lang w:val="en-US"/>
        </w:rPr>
        <w:t>.</w:t>
      </w:r>
    </w:p>
    <w:p w14:paraId="7C3315AB" w14:textId="77777777" w:rsidR="00AF2597" w:rsidRDefault="00AF2597" w:rsidP="00AF2597">
      <w:pPr>
        <w:spacing w:after="0" w:line="240" w:lineRule="auto"/>
        <w:jc w:val="both"/>
        <w:rPr>
          <w:rFonts w:ascii="Times New Roman" w:hAnsi="Times New Roman" w:cs="Times New Roman"/>
          <w:b/>
          <w:sz w:val="24"/>
          <w:szCs w:val="24"/>
          <w:lang w:val="en-US"/>
        </w:rPr>
      </w:pPr>
    </w:p>
    <w:p w14:paraId="4ED344EB" w14:textId="77777777" w:rsidR="00B967DA" w:rsidRPr="00B967DA" w:rsidRDefault="00B967DA" w:rsidP="00AF2597">
      <w:pPr>
        <w:spacing w:after="0" w:line="240" w:lineRule="auto"/>
        <w:jc w:val="both"/>
        <w:rPr>
          <w:rFonts w:ascii="Times New Roman" w:hAnsi="Times New Roman" w:cs="Times New Roman"/>
          <w:sz w:val="24"/>
          <w:szCs w:val="24"/>
          <w:lang w:val="en-US"/>
        </w:rPr>
      </w:pPr>
      <w:r w:rsidRPr="00B967DA">
        <w:rPr>
          <w:rFonts w:ascii="Times New Roman" w:hAnsi="Times New Roman" w:cs="Times New Roman"/>
          <w:sz w:val="24"/>
          <w:szCs w:val="24"/>
          <w:lang w:val="en-US"/>
        </w:rPr>
        <w:t xml:space="preserve">Briggs, A. 2020.  </w:t>
      </w:r>
      <w:r>
        <w:rPr>
          <w:rFonts w:ascii="Times New Roman" w:hAnsi="Times New Roman" w:cs="Times New Roman"/>
          <w:sz w:val="24"/>
          <w:szCs w:val="24"/>
          <w:lang w:val="en-US"/>
        </w:rPr>
        <w:t xml:space="preserve">“Moving Beyond ‘Lives-Saved’ From Covid-19”, </w:t>
      </w:r>
      <w:hyperlink r:id="rId23" w:history="1">
        <w:r w:rsidR="00CB204F" w:rsidRPr="00B4353A">
          <w:rPr>
            <w:rStyle w:val="Hyperlink"/>
            <w:rFonts w:ascii="Times New Roman" w:hAnsi="Times New Roman" w:cs="Times New Roman"/>
            <w:sz w:val="24"/>
            <w:szCs w:val="24"/>
            <w:lang w:val="en-US"/>
          </w:rPr>
          <w:t>https://avalonecon.com/moving-beyond-lives-saved-from-covid-19/</w:t>
        </w:r>
      </w:hyperlink>
      <w:r w:rsidR="00CB20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1A07D8B2" w14:textId="77777777" w:rsidR="00B967DA" w:rsidRDefault="00B967DA" w:rsidP="00AF2597">
      <w:pPr>
        <w:spacing w:after="0" w:line="240" w:lineRule="auto"/>
        <w:jc w:val="both"/>
        <w:rPr>
          <w:rFonts w:ascii="Times New Roman" w:hAnsi="Times New Roman" w:cs="Times New Roman"/>
          <w:b/>
          <w:sz w:val="24"/>
          <w:szCs w:val="24"/>
          <w:lang w:val="en-US"/>
        </w:rPr>
      </w:pPr>
    </w:p>
    <w:p w14:paraId="3A10D8AA" w14:textId="77777777" w:rsidR="00AF2597" w:rsidRPr="00123B78" w:rsidRDefault="00AF2597" w:rsidP="00AF2597">
      <w:pPr>
        <w:spacing w:after="0" w:line="240" w:lineRule="auto"/>
        <w:jc w:val="both"/>
        <w:rPr>
          <w:rFonts w:ascii="Times New Roman" w:hAnsi="Times New Roman" w:cs="Times New Roman"/>
          <w:sz w:val="24"/>
          <w:szCs w:val="24"/>
          <w:lang w:val="en-US"/>
        </w:rPr>
      </w:pPr>
      <w:r w:rsidRPr="00123B78">
        <w:rPr>
          <w:rFonts w:ascii="Times New Roman" w:hAnsi="Times New Roman" w:cs="Times New Roman"/>
          <w:sz w:val="24"/>
          <w:szCs w:val="24"/>
          <w:lang w:val="en-US"/>
        </w:rPr>
        <w:t xml:space="preserve">Chapple, S., 2020.  </w:t>
      </w:r>
      <w:r>
        <w:rPr>
          <w:rFonts w:ascii="Times New Roman" w:hAnsi="Times New Roman" w:cs="Times New Roman"/>
          <w:sz w:val="24"/>
          <w:szCs w:val="24"/>
          <w:lang w:val="en-US"/>
        </w:rPr>
        <w:t xml:space="preserve">“Covid-19: </w:t>
      </w:r>
      <w:r w:rsidRPr="00123B78">
        <w:rPr>
          <w:rFonts w:ascii="Times New Roman" w:hAnsi="Times New Roman" w:cs="Times New Roman"/>
          <w:sz w:val="24"/>
          <w:szCs w:val="24"/>
          <w:lang w:val="en-US"/>
        </w:rPr>
        <w:t xml:space="preserve">How Much is a </w:t>
      </w:r>
      <w:r>
        <w:rPr>
          <w:rFonts w:ascii="Times New Roman" w:hAnsi="Times New Roman" w:cs="Times New Roman"/>
          <w:sz w:val="24"/>
          <w:szCs w:val="24"/>
          <w:lang w:val="en-US"/>
        </w:rPr>
        <w:t xml:space="preserve">NZ Life Worth”, </w:t>
      </w:r>
      <w:proofErr w:type="spellStart"/>
      <w:r w:rsidRPr="00123B78">
        <w:rPr>
          <w:rFonts w:ascii="Times New Roman" w:hAnsi="Times New Roman" w:cs="Times New Roman"/>
          <w:i/>
          <w:sz w:val="24"/>
          <w:szCs w:val="24"/>
          <w:lang w:val="en-US"/>
        </w:rPr>
        <w:t>Ideasroom</w:t>
      </w:r>
      <w:proofErr w:type="spellEnd"/>
      <w:r>
        <w:rPr>
          <w:rFonts w:ascii="Times New Roman" w:hAnsi="Times New Roman" w:cs="Times New Roman"/>
          <w:sz w:val="24"/>
          <w:szCs w:val="24"/>
          <w:lang w:val="en-US"/>
        </w:rPr>
        <w:t xml:space="preserve">, </w:t>
      </w:r>
      <w:hyperlink r:id="rId24" w:history="1">
        <w:r w:rsidRPr="00D479C4">
          <w:rPr>
            <w:rStyle w:val="Hyperlink"/>
            <w:rFonts w:ascii="Times New Roman" w:hAnsi="Times New Roman" w:cs="Times New Roman"/>
            <w:sz w:val="24"/>
            <w:szCs w:val="24"/>
            <w:lang w:val="en-US"/>
          </w:rPr>
          <w:t>https://www.newsroom.co.nz/ideasroom/2020/03/17/1087345/how-much-is-a-nz-life-worth</w:t>
        </w:r>
      </w:hyperlink>
      <w:r>
        <w:rPr>
          <w:rFonts w:ascii="Times New Roman" w:hAnsi="Times New Roman" w:cs="Times New Roman"/>
          <w:sz w:val="24"/>
          <w:szCs w:val="24"/>
          <w:lang w:val="en-US"/>
        </w:rPr>
        <w:t>.</w:t>
      </w:r>
    </w:p>
    <w:p w14:paraId="3354CDD9" w14:textId="77777777" w:rsidR="009A7AAE" w:rsidRDefault="009A7AAE" w:rsidP="005C79D9">
      <w:pPr>
        <w:spacing w:after="0" w:line="240" w:lineRule="auto"/>
        <w:jc w:val="both"/>
        <w:rPr>
          <w:rFonts w:ascii="Times New Roman" w:hAnsi="Times New Roman" w:cs="Times New Roman"/>
          <w:b/>
          <w:sz w:val="24"/>
          <w:szCs w:val="24"/>
          <w:lang w:val="en-US"/>
        </w:rPr>
      </w:pPr>
    </w:p>
    <w:p w14:paraId="5769BA5F" w14:textId="77777777" w:rsidR="005B5662" w:rsidRPr="00AB4E40" w:rsidRDefault="005B5662" w:rsidP="005C79D9">
      <w:pPr>
        <w:spacing w:after="0" w:line="240" w:lineRule="auto"/>
        <w:jc w:val="both"/>
        <w:rPr>
          <w:rFonts w:ascii="Times New Roman" w:hAnsi="Times New Roman" w:cs="Times New Roman"/>
          <w:sz w:val="24"/>
          <w:szCs w:val="24"/>
          <w:lang w:val="en-US"/>
        </w:rPr>
      </w:pPr>
      <w:r w:rsidRPr="005B5662">
        <w:rPr>
          <w:rFonts w:ascii="Times New Roman" w:hAnsi="Times New Roman" w:cs="Times New Roman"/>
          <w:sz w:val="24"/>
          <w:szCs w:val="24"/>
          <w:lang w:val="en-US"/>
        </w:rPr>
        <w:t>Chaudhry</w:t>
      </w:r>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Dranitsaris</w:t>
      </w:r>
      <w:proofErr w:type="spellEnd"/>
      <w:r>
        <w:rPr>
          <w:rFonts w:ascii="Times New Roman" w:hAnsi="Times New Roman" w:cs="Times New Roman"/>
          <w:sz w:val="24"/>
          <w:szCs w:val="24"/>
          <w:lang w:val="en-US"/>
        </w:rPr>
        <w:t>, G.,</w:t>
      </w:r>
      <w:r w:rsidR="00AB4E40">
        <w:rPr>
          <w:rFonts w:ascii="Times New Roman" w:hAnsi="Times New Roman" w:cs="Times New Roman"/>
          <w:sz w:val="24"/>
          <w:szCs w:val="24"/>
          <w:lang w:val="en-US"/>
        </w:rPr>
        <w:t xml:space="preserve"> and Mubashir, T.,</w:t>
      </w:r>
      <w:r>
        <w:rPr>
          <w:rFonts w:ascii="Times New Roman" w:hAnsi="Times New Roman" w:cs="Times New Roman"/>
          <w:sz w:val="24"/>
          <w:szCs w:val="24"/>
          <w:lang w:val="en-US"/>
        </w:rPr>
        <w:t xml:space="preserve"> “A Country Level Analysis Measuring the Impact of Government Actions, Country Preparedness and Socioeconomic Factors on Covid-19 Mortality and Related Health Outcomes”, </w:t>
      </w:r>
      <w:r w:rsidR="00AB4E40">
        <w:rPr>
          <w:rFonts w:ascii="Times New Roman" w:hAnsi="Times New Roman" w:cs="Times New Roman"/>
          <w:i/>
          <w:sz w:val="24"/>
          <w:szCs w:val="24"/>
          <w:lang w:val="en-US"/>
        </w:rPr>
        <w:t>E Clinical Medicine</w:t>
      </w:r>
      <w:r w:rsidR="00AB4E40">
        <w:rPr>
          <w:rFonts w:ascii="Times New Roman" w:hAnsi="Times New Roman" w:cs="Times New Roman"/>
          <w:sz w:val="24"/>
          <w:szCs w:val="24"/>
          <w:lang w:val="en-US"/>
        </w:rPr>
        <w:t xml:space="preserve">, </w:t>
      </w:r>
      <w:hyperlink r:id="rId25" w:history="1">
        <w:r w:rsidR="00AB4E40" w:rsidRPr="00D479C4">
          <w:rPr>
            <w:rStyle w:val="Hyperlink"/>
            <w:rFonts w:ascii="Times New Roman" w:hAnsi="Times New Roman" w:cs="Times New Roman"/>
            <w:sz w:val="24"/>
            <w:szCs w:val="24"/>
            <w:lang w:val="en-US"/>
          </w:rPr>
          <w:t>https://www.thelancet.com/journals/eclinm/article/PIIS2589-5370(20)30208-X/fulltext</w:t>
        </w:r>
      </w:hyperlink>
      <w:r w:rsidR="00AB4E40">
        <w:rPr>
          <w:rFonts w:ascii="Times New Roman" w:hAnsi="Times New Roman" w:cs="Times New Roman"/>
          <w:sz w:val="24"/>
          <w:szCs w:val="24"/>
          <w:lang w:val="en-US"/>
        </w:rPr>
        <w:t>.</w:t>
      </w:r>
    </w:p>
    <w:p w14:paraId="0E1FC5BA" w14:textId="77777777" w:rsidR="00554466" w:rsidRDefault="00554466" w:rsidP="00554466">
      <w:pPr>
        <w:spacing w:after="0" w:line="240" w:lineRule="auto"/>
        <w:jc w:val="both"/>
        <w:rPr>
          <w:rFonts w:ascii="Times New Roman" w:hAnsi="Times New Roman" w:cs="Times New Roman"/>
          <w:b/>
          <w:sz w:val="24"/>
          <w:szCs w:val="24"/>
          <w:lang w:val="en-US"/>
        </w:rPr>
      </w:pPr>
    </w:p>
    <w:p w14:paraId="73F123AB" w14:textId="77777777" w:rsidR="005E668E" w:rsidRPr="008F2EAB" w:rsidRDefault="005E668E" w:rsidP="00554466">
      <w:pPr>
        <w:spacing w:after="0" w:line="240" w:lineRule="auto"/>
        <w:jc w:val="both"/>
        <w:rPr>
          <w:rFonts w:ascii="Times New Roman" w:hAnsi="Times New Roman" w:cs="Times New Roman"/>
          <w:sz w:val="24"/>
          <w:szCs w:val="24"/>
          <w:lang w:val="en-US"/>
        </w:rPr>
      </w:pPr>
      <w:r w:rsidRPr="00A31595">
        <w:rPr>
          <w:rFonts w:ascii="Times New Roman" w:hAnsi="Times New Roman" w:cs="Times New Roman"/>
          <w:sz w:val="24"/>
          <w:szCs w:val="24"/>
          <w:lang w:val="en-US"/>
        </w:rPr>
        <w:t>C</w:t>
      </w:r>
      <w:r w:rsidR="00A31595">
        <w:rPr>
          <w:rFonts w:ascii="Times New Roman" w:hAnsi="Times New Roman" w:cs="Times New Roman"/>
          <w:sz w:val="24"/>
          <w:szCs w:val="24"/>
          <w:lang w:val="en-US"/>
        </w:rPr>
        <w:t xml:space="preserve">heng, Q., Church, J., </w:t>
      </w:r>
      <w:r w:rsidR="008F2EAB">
        <w:rPr>
          <w:rFonts w:ascii="Times New Roman" w:hAnsi="Times New Roman" w:cs="Times New Roman"/>
          <w:sz w:val="24"/>
          <w:szCs w:val="24"/>
          <w:lang w:val="en-US"/>
        </w:rPr>
        <w:t xml:space="preserve">Haas, M., Goodall, S., Sangster, J., </w:t>
      </w:r>
      <w:r w:rsidR="00A31595">
        <w:rPr>
          <w:rFonts w:ascii="Times New Roman" w:hAnsi="Times New Roman" w:cs="Times New Roman"/>
          <w:sz w:val="24"/>
          <w:szCs w:val="24"/>
          <w:lang w:val="en-US"/>
        </w:rPr>
        <w:t>and Furber, S., 2016.  “Cost-Effectiveness of a Population-Based Lifestyle Intervention to Promote Healthy Weight and Physical</w:t>
      </w:r>
      <w:r w:rsidR="006403FC">
        <w:rPr>
          <w:rFonts w:ascii="Times New Roman" w:hAnsi="Times New Roman" w:cs="Times New Roman"/>
          <w:sz w:val="24"/>
          <w:szCs w:val="24"/>
          <w:lang w:val="en-US"/>
        </w:rPr>
        <w:t xml:space="preserve"> Activity in Non-A</w:t>
      </w:r>
      <w:r w:rsidR="008F2EAB">
        <w:rPr>
          <w:rFonts w:ascii="Times New Roman" w:hAnsi="Times New Roman" w:cs="Times New Roman"/>
          <w:sz w:val="24"/>
          <w:szCs w:val="24"/>
          <w:lang w:val="en-US"/>
        </w:rPr>
        <w:t>ttenders</w:t>
      </w:r>
      <w:r w:rsidR="006403FC">
        <w:rPr>
          <w:rFonts w:ascii="Times New Roman" w:hAnsi="Times New Roman" w:cs="Times New Roman"/>
          <w:sz w:val="24"/>
          <w:szCs w:val="24"/>
          <w:lang w:val="en-US"/>
        </w:rPr>
        <w:t xml:space="preserve"> of Cardiac Rehabilitation”, </w:t>
      </w:r>
      <w:r w:rsidR="008F2EAB">
        <w:rPr>
          <w:rFonts w:ascii="Times New Roman" w:hAnsi="Times New Roman" w:cs="Times New Roman"/>
          <w:i/>
          <w:sz w:val="24"/>
          <w:szCs w:val="24"/>
          <w:lang w:val="en-US"/>
        </w:rPr>
        <w:t>Heart Lung and Circulation</w:t>
      </w:r>
      <w:r w:rsidR="008F2EAB">
        <w:rPr>
          <w:rFonts w:ascii="Times New Roman" w:hAnsi="Times New Roman" w:cs="Times New Roman"/>
          <w:sz w:val="24"/>
          <w:szCs w:val="24"/>
          <w:lang w:val="en-US"/>
        </w:rPr>
        <w:t xml:space="preserve">, 26, pp. 265-274, </w:t>
      </w:r>
      <w:hyperlink r:id="rId26" w:history="1">
        <w:r w:rsidR="008F2EAB" w:rsidRPr="003003AE">
          <w:rPr>
            <w:rStyle w:val="Hyperlink"/>
            <w:rFonts w:ascii="Times New Roman" w:hAnsi="Times New Roman" w:cs="Times New Roman"/>
            <w:sz w:val="24"/>
            <w:szCs w:val="24"/>
            <w:lang w:val="en-US"/>
          </w:rPr>
          <w:t>https://www.heartlungcirc.org/article/S1443-9506(15)01275-5/pdf</w:t>
        </w:r>
      </w:hyperlink>
      <w:r w:rsidR="008F2EAB">
        <w:rPr>
          <w:rFonts w:ascii="Times New Roman" w:hAnsi="Times New Roman" w:cs="Times New Roman"/>
          <w:sz w:val="24"/>
          <w:szCs w:val="24"/>
          <w:lang w:val="en-US"/>
        </w:rPr>
        <w:t>.</w:t>
      </w:r>
    </w:p>
    <w:p w14:paraId="04F252AF" w14:textId="77777777" w:rsidR="005E668E" w:rsidRDefault="005E668E" w:rsidP="00554466">
      <w:pPr>
        <w:spacing w:after="0" w:line="240" w:lineRule="auto"/>
        <w:jc w:val="both"/>
        <w:rPr>
          <w:rFonts w:ascii="Times New Roman" w:hAnsi="Times New Roman" w:cs="Times New Roman"/>
          <w:b/>
          <w:sz w:val="24"/>
          <w:szCs w:val="24"/>
          <w:lang w:val="en-US"/>
        </w:rPr>
      </w:pPr>
    </w:p>
    <w:p w14:paraId="5F5AA4EA" w14:textId="77777777" w:rsidR="00554466" w:rsidRPr="00110493" w:rsidRDefault="00554466" w:rsidP="00554466">
      <w:pPr>
        <w:spacing w:after="0" w:line="240" w:lineRule="auto"/>
        <w:jc w:val="both"/>
        <w:rPr>
          <w:rFonts w:ascii="Times New Roman" w:hAnsi="Times New Roman" w:cs="Times New Roman"/>
          <w:sz w:val="24"/>
          <w:szCs w:val="24"/>
          <w:lang w:val="en-US"/>
        </w:rPr>
      </w:pPr>
      <w:proofErr w:type="spellStart"/>
      <w:r w:rsidRPr="00110493">
        <w:rPr>
          <w:rFonts w:ascii="Times New Roman" w:hAnsi="Times New Roman" w:cs="Times New Roman"/>
          <w:sz w:val="24"/>
          <w:szCs w:val="24"/>
          <w:lang w:val="en-US"/>
        </w:rPr>
        <w:t>Couzin</w:t>
      </w:r>
      <w:proofErr w:type="spellEnd"/>
      <w:r w:rsidRPr="00110493">
        <w:rPr>
          <w:rFonts w:ascii="Times New Roman" w:hAnsi="Times New Roman" w:cs="Times New Roman"/>
          <w:sz w:val="24"/>
          <w:szCs w:val="24"/>
          <w:lang w:val="en-US"/>
        </w:rPr>
        <w:t xml:space="preserve">-Frankel, </w:t>
      </w:r>
      <w:r>
        <w:rPr>
          <w:rFonts w:ascii="Times New Roman" w:hAnsi="Times New Roman" w:cs="Times New Roman"/>
          <w:sz w:val="24"/>
          <w:szCs w:val="24"/>
          <w:lang w:val="en-US"/>
        </w:rPr>
        <w:t xml:space="preserve">J., 2020.  “From Brain Fog to Heart Damage”, </w:t>
      </w:r>
      <w:r>
        <w:rPr>
          <w:rFonts w:ascii="Times New Roman" w:hAnsi="Times New Roman" w:cs="Times New Roman"/>
          <w:i/>
          <w:sz w:val="24"/>
          <w:szCs w:val="24"/>
          <w:lang w:val="en-US"/>
        </w:rPr>
        <w:t>Science Magazine</w:t>
      </w:r>
      <w:r>
        <w:rPr>
          <w:rFonts w:ascii="Times New Roman" w:hAnsi="Times New Roman" w:cs="Times New Roman"/>
          <w:sz w:val="24"/>
          <w:szCs w:val="24"/>
          <w:lang w:val="en-US"/>
        </w:rPr>
        <w:t xml:space="preserve">, </w:t>
      </w:r>
      <w:hyperlink r:id="rId27" w:history="1">
        <w:r w:rsidRPr="00F31AC5">
          <w:rPr>
            <w:rStyle w:val="Hyperlink"/>
            <w:rFonts w:ascii="Times New Roman" w:hAnsi="Times New Roman" w:cs="Times New Roman"/>
            <w:sz w:val="24"/>
            <w:szCs w:val="24"/>
            <w:lang w:val="en-US"/>
          </w:rPr>
          <w:t>https://www.sciencemag.org/news/2020/07/brain-fog-heart-damage-covid-19-s-lingering-problems-alarm-scientists</w:t>
        </w:r>
      </w:hyperlink>
      <w:r>
        <w:rPr>
          <w:rFonts w:ascii="Times New Roman" w:hAnsi="Times New Roman" w:cs="Times New Roman"/>
          <w:sz w:val="24"/>
          <w:szCs w:val="24"/>
          <w:lang w:val="en-US"/>
        </w:rPr>
        <w:t xml:space="preserve">. </w:t>
      </w:r>
    </w:p>
    <w:p w14:paraId="33759EB1" w14:textId="77777777" w:rsidR="005B5662" w:rsidRDefault="005B5662" w:rsidP="005C79D9">
      <w:pPr>
        <w:spacing w:after="0" w:line="240" w:lineRule="auto"/>
        <w:jc w:val="both"/>
        <w:rPr>
          <w:rFonts w:ascii="Times New Roman" w:hAnsi="Times New Roman" w:cs="Times New Roman"/>
          <w:b/>
          <w:sz w:val="24"/>
          <w:szCs w:val="24"/>
          <w:lang w:val="en-US"/>
        </w:rPr>
      </w:pPr>
    </w:p>
    <w:p w14:paraId="4255C58A" w14:textId="77777777" w:rsidR="005C79D9" w:rsidRPr="00A0275E" w:rsidRDefault="005C79D9" w:rsidP="005C79D9">
      <w:pPr>
        <w:spacing w:after="0" w:line="240" w:lineRule="auto"/>
        <w:jc w:val="both"/>
        <w:rPr>
          <w:rFonts w:ascii="Times New Roman" w:hAnsi="Times New Roman" w:cs="Times New Roman"/>
          <w:sz w:val="24"/>
          <w:szCs w:val="24"/>
          <w:lang w:val="en-US"/>
        </w:rPr>
      </w:pPr>
      <w:r w:rsidRPr="00A0275E">
        <w:rPr>
          <w:rFonts w:ascii="Times New Roman" w:hAnsi="Times New Roman" w:cs="Times New Roman"/>
          <w:sz w:val="24"/>
          <w:szCs w:val="24"/>
          <w:lang w:val="en-US"/>
        </w:rPr>
        <w:t>Ferguson</w:t>
      </w:r>
      <w:r w:rsidR="000A7EAA" w:rsidRPr="00A0275E">
        <w:rPr>
          <w:rFonts w:ascii="Times New Roman" w:hAnsi="Times New Roman" w:cs="Times New Roman"/>
          <w:sz w:val="24"/>
          <w:szCs w:val="24"/>
          <w:lang w:val="en-US"/>
        </w:rPr>
        <w:t xml:space="preserve">, N., et al, 2020.  </w:t>
      </w:r>
      <w:r w:rsidR="002F1220">
        <w:rPr>
          <w:rFonts w:ascii="Times New Roman" w:hAnsi="Times New Roman" w:cs="Times New Roman"/>
          <w:sz w:val="24"/>
          <w:szCs w:val="24"/>
          <w:lang w:val="en-US"/>
        </w:rPr>
        <w:t>“</w:t>
      </w:r>
      <w:r w:rsidR="00A0275E" w:rsidRPr="00A0275E">
        <w:rPr>
          <w:rFonts w:ascii="Times New Roman" w:hAnsi="Times New Roman" w:cs="Times New Roman"/>
          <w:sz w:val="24"/>
          <w:szCs w:val="24"/>
          <w:lang w:val="en-US"/>
        </w:rPr>
        <w:t>Impact of Non-Pharmaceutical Interventions to Reduce Covid-19 Mortality and Healthcare Demand</w:t>
      </w:r>
      <w:r w:rsidR="002F1220">
        <w:rPr>
          <w:rFonts w:ascii="Times New Roman" w:hAnsi="Times New Roman" w:cs="Times New Roman"/>
          <w:sz w:val="24"/>
          <w:szCs w:val="24"/>
          <w:lang w:val="en-US"/>
        </w:rPr>
        <w:t>”</w:t>
      </w:r>
      <w:r w:rsidR="00A0275E" w:rsidRPr="00A0275E">
        <w:rPr>
          <w:rFonts w:ascii="Times New Roman" w:hAnsi="Times New Roman" w:cs="Times New Roman"/>
          <w:sz w:val="24"/>
          <w:szCs w:val="24"/>
          <w:lang w:val="en-US"/>
        </w:rPr>
        <w:t xml:space="preserve">, working paper </w:t>
      </w:r>
      <w:hyperlink r:id="rId28" w:history="1">
        <w:r w:rsidR="00A0275E" w:rsidRPr="00A0275E">
          <w:rPr>
            <w:rStyle w:val="Hyperlink"/>
            <w:rFonts w:ascii="Times New Roman" w:hAnsi="Times New Roman" w:cs="Times New Roman"/>
            <w:sz w:val="24"/>
            <w:szCs w:val="24"/>
          </w:rPr>
          <w:t>https://www.imperial.ac.uk/media/imperial-college/medicine/sph/ide/gida-fellowships/Imperial-College-COVID19-NPI-modelling-16-03-2020.pdf</w:t>
        </w:r>
      </w:hyperlink>
      <w:r w:rsidR="00A0275E">
        <w:rPr>
          <w:rFonts w:ascii="Times New Roman" w:hAnsi="Times New Roman" w:cs="Times New Roman"/>
          <w:sz w:val="24"/>
          <w:szCs w:val="24"/>
        </w:rPr>
        <w:t>.</w:t>
      </w:r>
    </w:p>
    <w:p w14:paraId="6F8825C8" w14:textId="77777777" w:rsidR="000A7EAA" w:rsidRDefault="000A7EAA" w:rsidP="005C79D9">
      <w:pPr>
        <w:spacing w:after="0" w:line="240" w:lineRule="auto"/>
        <w:jc w:val="both"/>
        <w:rPr>
          <w:rFonts w:ascii="Times New Roman" w:hAnsi="Times New Roman" w:cs="Times New Roman"/>
          <w:sz w:val="24"/>
          <w:szCs w:val="24"/>
          <w:lang w:val="en-US"/>
        </w:rPr>
      </w:pPr>
    </w:p>
    <w:p w14:paraId="551E6403" w14:textId="77777777" w:rsidR="00042D2E" w:rsidRPr="008B35F9" w:rsidRDefault="00042D2E"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Foster, G., </w:t>
      </w:r>
      <w:r w:rsidR="008B35F9">
        <w:rPr>
          <w:rFonts w:ascii="Times New Roman" w:hAnsi="Times New Roman" w:cs="Times New Roman"/>
          <w:sz w:val="24"/>
          <w:szCs w:val="24"/>
          <w:lang w:val="en-US"/>
        </w:rPr>
        <w:t xml:space="preserve">2020.  </w:t>
      </w:r>
      <w:r w:rsidR="008B35F9">
        <w:rPr>
          <w:rFonts w:ascii="Times New Roman" w:hAnsi="Times New Roman" w:cs="Times New Roman"/>
          <w:i/>
          <w:sz w:val="24"/>
          <w:szCs w:val="24"/>
          <w:lang w:val="en-US"/>
        </w:rPr>
        <w:t>Submission to the Victorian Parliament</w:t>
      </w:r>
      <w:r w:rsidR="008B35F9">
        <w:rPr>
          <w:rFonts w:ascii="Times New Roman" w:hAnsi="Times New Roman" w:cs="Times New Roman"/>
          <w:sz w:val="24"/>
          <w:szCs w:val="24"/>
          <w:lang w:val="en-US"/>
        </w:rPr>
        <w:t xml:space="preserve">, </w:t>
      </w:r>
      <w:hyperlink r:id="rId29" w:history="1">
        <w:r w:rsidR="008B35F9" w:rsidRPr="000F40D7">
          <w:rPr>
            <w:rStyle w:val="Hyperlink"/>
            <w:rFonts w:ascii="Times New Roman" w:hAnsi="Times New Roman" w:cs="Times New Roman"/>
            <w:sz w:val="24"/>
            <w:szCs w:val="24"/>
            <w:lang w:val="en-US"/>
          </w:rPr>
          <w:t>https://parliament.vic.gov.au/images/stories/committees/paec/COVID-19_Inquiry/Tabled_Documents_Round_2/CBA_Covid_Gigi_Foster.pdf</w:t>
        </w:r>
      </w:hyperlink>
      <w:r w:rsidR="008B35F9">
        <w:rPr>
          <w:rFonts w:ascii="Times New Roman" w:hAnsi="Times New Roman" w:cs="Times New Roman"/>
          <w:sz w:val="24"/>
          <w:szCs w:val="24"/>
          <w:lang w:val="en-US"/>
        </w:rPr>
        <w:t>.</w:t>
      </w:r>
    </w:p>
    <w:p w14:paraId="09EFB8C2" w14:textId="77777777" w:rsidR="00042D2E" w:rsidRDefault="00042D2E" w:rsidP="005C79D9">
      <w:pPr>
        <w:spacing w:after="0" w:line="240" w:lineRule="auto"/>
        <w:jc w:val="both"/>
        <w:rPr>
          <w:rFonts w:ascii="Times New Roman" w:hAnsi="Times New Roman" w:cs="Times New Roman"/>
          <w:sz w:val="24"/>
          <w:szCs w:val="24"/>
          <w:lang w:val="en-US"/>
        </w:rPr>
      </w:pPr>
    </w:p>
    <w:p w14:paraId="4C8FB302" w14:textId="77777777" w:rsidR="00B660EE" w:rsidRDefault="00B660EE" w:rsidP="005C79D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Frijters</w:t>
      </w:r>
      <w:proofErr w:type="spellEnd"/>
      <w:r>
        <w:rPr>
          <w:rFonts w:ascii="Times New Roman" w:hAnsi="Times New Roman" w:cs="Times New Roman"/>
          <w:sz w:val="24"/>
          <w:szCs w:val="24"/>
          <w:lang w:val="en-US"/>
        </w:rPr>
        <w:t>, P</w:t>
      </w:r>
      <w:r w:rsidR="0065599A">
        <w:rPr>
          <w:rFonts w:ascii="Times New Roman" w:hAnsi="Times New Roman" w:cs="Times New Roman"/>
          <w:sz w:val="24"/>
          <w:szCs w:val="24"/>
          <w:lang w:val="en-US"/>
        </w:rPr>
        <w:t xml:space="preserve">. 2020. “How Many WELLBYs is the Corona Panic Costing”, </w:t>
      </w:r>
      <w:hyperlink r:id="rId30" w:history="1">
        <w:r w:rsidR="0065599A" w:rsidRPr="00B4353A">
          <w:rPr>
            <w:rStyle w:val="Hyperlink"/>
            <w:rFonts w:ascii="Times New Roman" w:hAnsi="Times New Roman" w:cs="Times New Roman"/>
            <w:sz w:val="24"/>
            <w:szCs w:val="24"/>
            <w:lang w:val="en-US"/>
          </w:rPr>
          <w:t>https://clubtroppo.com.au/2020/04/08/how-many-wellbys-is-the-corona-panic-costing/</w:t>
        </w:r>
      </w:hyperlink>
      <w:r w:rsidR="0065599A">
        <w:rPr>
          <w:rFonts w:ascii="Times New Roman" w:hAnsi="Times New Roman" w:cs="Times New Roman"/>
          <w:sz w:val="24"/>
          <w:szCs w:val="24"/>
          <w:lang w:val="en-US"/>
        </w:rPr>
        <w:t>.</w:t>
      </w:r>
    </w:p>
    <w:p w14:paraId="3FD326F9" w14:textId="77777777" w:rsidR="00B660EE" w:rsidRDefault="00B660EE" w:rsidP="005C79D9">
      <w:pPr>
        <w:spacing w:after="0" w:line="240" w:lineRule="auto"/>
        <w:jc w:val="both"/>
        <w:rPr>
          <w:rFonts w:ascii="Times New Roman" w:hAnsi="Times New Roman" w:cs="Times New Roman"/>
          <w:sz w:val="24"/>
          <w:szCs w:val="24"/>
          <w:lang w:val="en-US"/>
        </w:rPr>
      </w:pPr>
    </w:p>
    <w:p w14:paraId="228AF0BB" w14:textId="77777777" w:rsidR="00592DEB" w:rsidRPr="0028234A" w:rsidRDefault="005856DD"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Gibson, J., </w:t>
      </w:r>
      <w:r>
        <w:rPr>
          <w:rFonts w:ascii="Times New Roman" w:hAnsi="Times New Roman" w:cs="Times New Roman"/>
          <w:sz w:val="24"/>
          <w:szCs w:val="24"/>
        </w:rPr>
        <w:t>2020</w:t>
      </w:r>
      <w:r w:rsidR="00592DEB">
        <w:rPr>
          <w:rFonts w:ascii="Times New Roman" w:hAnsi="Times New Roman" w:cs="Times New Roman"/>
          <w:sz w:val="24"/>
          <w:szCs w:val="24"/>
        </w:rPr>
        <w:t>.  “Hard, Not Early: Putting the New Zealand Covid-19 Response in Context”, working paper, University of Waikato.</w:t>
      </w:r>
    </w:p>
    <w:p w14:paraId="4741FA58" w14:textId="77777777" w:rsidR="00FF3FEC" w:rsidRDefault="00FF3FEC" w:rsidP="00FF3FEC">
      <w:pPr>
        <w:spacing w:after="0" w:line="240" w:lineRule="auto"/>
        <w:jc w:val="both"/>
        <w:rPr>
          <w:rFonts w:ascii="Times New Roman" w:hAnsi="Times New Roman" w:cs="Times New Roman"/>
          <w:sz w:val="24"/>
          <w:szCs w:val="24"/>
          <w:lang w:val="en-US"/>
        </w:rPr>
      </w:pPr>
    </w:p>
    <w:p w14:paraId="492DD597" w14:textId="77777777" w:rsidR="00F27E87" w:rsidRPr="00F27E87" w:rsidRDefault="00F27E87" w:rsidP="00FF3FE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Gomez-Pineda, J., 2020.  “Growth Forecasts and the Covid-19 Recession they Convey: End-2020 Update”, </w:t>
      </w:r>
      <w:r>
        <w:rPr>
          <w:rFonts w:ascii="Times New Roman" w:hAnsi="Times New Roman" w:cs="Times New Roman"/>
          <w:i/>
          <w:sz w:val="24"/>
          <w:szCs w:val="24"/>
          <w:lang w:val="en-US"/>
        </w:rPr>
        <w:t>Covid Economics</w:t>
      </w:r>
      <w:r>
        <w:rPr>
          <w:rFonts w:ascii="Times New Roman" w:hAnsi="Times New Roman" w:cs="Times New Roman"/>
          <w:sz w:val="24"/>
          <w:szCs w:val="24"/>
          <w:lang w:val="en-US"/>
        </w:rPr>
        <w:t xml:space="preserve">, vol. 62, pp. 66-73, </w:t>
      </w:r>
      <w:hyperlink r:id="rId31" w:anchor="block-block-10" w:history="1">
        <w:r w:rsidR="000E10D1" w:rsidRPr="00093037">
          <w:rPr>
            <w:rStyle w:val="Hyperlink"/>
            <w:rFonts w:ascii="Times New Roman" w:hAnsi="Times New Roman" w:cs="Times New Roman"/>
            <w:sz w:val="24"/>
            <w:szCs w:val="24"/>
            <w:lang w:val="en-US"/>
          </w:rPr>
          <w:t>https://cepr.org/content/covid-economics-vetted-and-real-time-papers-0#block-block-10</w:t>
        </w:r>
      </w:hyperlink>
      <w:r w:rsidR="000E10D1">
        <w:rPr>
          <w:rFonts w:ascii="Times New Roman" w:hAnsi="Times New Roman" w:cs="Times New Roman"/>
          <w:sz w:val="24"/>
          <w:szCs w:val="24"/>
          <w:lang w:val="en-US"/>
        </w:rPr>
        <w:t>.</w:t>
      </w:r>
    </w:p>
    <w:p w14:paraId="7E67D09A" w14:textId="77777777" w:rsidR="00F52A84" w:rsidRDefault="00F52A84" w:rsidP="00F52A84">
      <w:pPr>
        <w:spacing w:after="0" w:line="240" w:lineRule="auto"/>
        <w:jc w:val="both"/>
        <w:rPr>
          <w:rFonts w:ascii="Times New Roman" w:hAnsi="Times New Roman" w:cs="Times New Roman"/>
          <w:sz w:val="24"/>
          <w:szCs w:val="24"/>
          <w:lang w:val="en-US"/>
        </w:rPr>
      </w:pPr>
    </w:p>
    <w:p w14:paraId="6FBAA079" w14:textId="77777777" w:rsidR="00F52A84" w:rsidRPr="00EC33A4" w:rsidRDefault="00F52A84" w:rsidP="00F52A84">
      <w:pPr>
        <w:spacing w:after="0" w:line="240" w:lineRule="auto"/>
        <w:jc w:val="both"/>
        <w:rPr>
          <w:rFonts w:ascii="Times New Roman" w:hAnsi="Times New Roman" w:cs="Times New Roman"/>
          <w:sz w:val="24"/>
          <w:szCs w:val="24"/>
          <w:lang w:val="en-US"/>
        </w:rPr>
      </w:pPr>
      <w:r w:rsidRPr="00EC33A4">
        <w:rPr>
          <w:rFonts w:ascii="Times New Roman" w:hAnsi="Times New Roman" w:cs="Times New Roman"/>
          <w:sz w:val="24"/>
          <w:szCs w:val="24"/>
          <w:lang w:val="en-US"/>
        </w:rPr>
        <w:t xml:space="preserve">Goolsbee, A., and Syverson, C., 2020.  “Fear, Lockdown and Diversion: Comparing Drivers of Pandemic Economic Decline 2020”, SSRN working paper, </w:t>
      </w:r>
      <w:hyperlink r:id="rId32" w:history="1">
        <w:r w:rsidRPr="00EC33A4">
          <w:rPr>
            <w:rStyle w:val="Hyperlink"/>
            <w:rFonts w:ascii="Times New Roman" w:hAnsi="Times New Roman" w:cs="Times New Roman"/>
            <w:sz w:val="24"/>
            <w:szCs w:val="24"/>
          </w:rPr>
          <w:t>https://papers.ssrn.com/sol3/papers.cfm?abstract_id=3631180</w:t>
        </w:r>
      </w:hyperlink>
      <w:r w:rsidRPr="00EC33A4">
        <w:rPr>
          <w:rFonts w:ascii="Times New Roman" w:hAnsi="Times New Roman" w:cs="Times New Roman"/>
          <w:sz w:val="24"/>
          <w:szCs w:val="24"/>
        </w:rPr>
        <w:t>.</w:t>
      </w:r>
      <w:r w:rsidRPr="00EC33A4">
        <w:rPr>
          <w:rFonts w:ascii="Times New Roman" w:hAnsi="Times New Roman" w:cs="Times New Roman"/>
          <w:sz w:val="24"/>
          <w:szCs w:val="24"/>
          <w:lang w:val="en-US"/>
        </w:rPr>
        <w:t xml:space="preserve">  </w:t>
      </w:r>
    </w:p>
    <w:p w14:paraId="65AB3DF6" w14:textId="77777777" w:rsidR="00F27E87" w:rsidRDefault="00F27E87" w:rsidP="00FF3FEC">
      <w:pPr>
        <w:spacing w:after="0" w:line="240" w:lineRule="auto"/>
        <w:jc w:val="both"/>
        <w:rPr>
          <w:rFonts w:ascii="Times New Roman" w:hAnsi="Times New Roman" w:cs="Times New Roman"/>
          <w:sz w:val="24"/>
          <w:szCs w:val="24"/>
          <w:lang w:val="en-US"/>
        </w:rPr>
      </w:pPr>
    </w:p>
    <w:p w14:paraId="7574F7E1" w14:textId="77777777" w:rsidR="00FF3FEC" w:rsidRPr="00AF53F4" w:rsidRDefault="00FF3FEC" w:rsidP="00FF3FE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Greenhalgh, T., and Knight, M., 2020.  “Management of Post-Acute Covid-19 in Primary Care, </w:t>
      </w:r>
      <w:r>
        <w:rPr>
          <w:rFonts w:ascii="Times New Roman" w:hAnsi="Times New Roman" w:cs="Times New Roman"/>
          <w:i/>
          <w:sz w:val="24"/>
          <w:szCs w:val="24"/>
          <w:lang w:val="en-US"/>
        </w:rPr>
        <w:t>BMJ</w:t>
      </w:r>
      <w:r>
        <w:rPr>
          <w:rFonts w:ascii="Times New Roman" w:hAnsi="Times New Roman" w:cs="Times New Roman"/>
          <w:sz w:val="24"/>
          <w:szCs w:val="24"/>
          <w:lang w:val="en-US"/>
        </w:rPr>
        <w:t xml:space="preserve">, </w:t>
      </w:r>
      <w:hyperlink r:id="rId33" w:history="1">
        <w:r w:rsidRPr="00A4044D">
          <w:rPr>
            <w:rStyle w:val="Hyperlink"/>
            <w:rFonts w:ascii="Times New Roman" w:hAnsi="Times New Roman" w:cs="Times New Roman"/>
            <w:sz w:val="24"/>
            <w:szCs w:val="24"/>
            <w:lang w:val="en-US"/>
          </w:rPr>
          <w:t>https://www.bmj.com/content/370/bmj.m3026</w:t>
        </w:r>
      </w:hyperlink>
      <w:r>
        <w:rPr>
          <w:rFonts w:ascii="Times New Roman" w:hAnsi="Times New Roman" w:cs="Times New Roman"/>
          <w:sz w:val="24"/>
          <w:szCs w:val="24"/>
          <w:lang w:val="en-US"/>
        </w:rPr>
        <w:t>.</w:t>
      </w:r>
    </w:p>
    <w:p w14:paraId="23567A10" w14:textId="77777777" w:rsidR="00FF3FEC" w:rsidRDefault="00FF3FEC" w:rsidP="00FF3FEC">
      <w:pPr>
        <w:spacing w:after="0" w:line="240" w:lineRule="auto"/>
        <w:jc w:val="both"/>
        <w:rPr>
          <w:rFonts w:ascii="Times New Roman" w:hAnsi="Times New Roman" w:cs="Times New Roman"/>
          <w:sz w:val="24"/>
          <w:szCs w:val="24"/>
          <w:lang w:val="en-US"/>
        </w:rPr>
      </w:pPr>
    </w:p>
    <w:p w14:paraId="47956D16" w14:textId="77777777" w:rsidR="00FF3FEC" w:rsidRPr="00B62D23" w:rsidRDefault="00FF3FEC" w:rsidP="00FF3FEC">
      <w:pPr>
        <w:spacing w:after="0" w:line="240" w:lineRule="auto"/>
        <w:jc w:val="both"/>
        <w:rPr>
          <w:rFonts w:ascii="Times New Roman" w:hAnsi="Times New Roman" w:cs="Times New Roman"/>
          <w:sz w:val="24"/>
          <w:szCs w:val="24"/>
          <w:lang w:val="en-US"/>
        </w:rPr>
      </w:pPr>
      <w:r w:rsidRPr="00B62D23">
        <w:rPr>
          <w:rFonts w:ascii="Times New Roman" w:hAnsi="Times New Roman" w:cs="Times New Roman"/>
          <w:sz w:val="24"/>
          <w:szCs w:val="24"/>
          <w:lang w:val="en-US"/>
        </w:rPr>
        <w:lastRenderedPageBreak/>
        <w:t xml:space="preserve">Gros, D., 2020.  “The Great Lockdown: Was it Worth it?”, </w:t>
      </w:r>
      <w:r w:rsidRPr="00B62D23">
        <w:rPr>
          <w:rFonts w:ascii="Times New Roman" w:hAnsi="Times New Roman" w:cs="Times New Roman"/>
          <w:i/>
          <w:sz w:val="24"/>
          <w:szCs w:val="24"/>
          <w:lang w:val="en-US"/>
        </w:rPr>
        <w:t>Policy Insights May 2020</w:t>
      </w:r>
      <w:r w:rsidRPr="00B62D23">
        <w:rPr>
          <w:rFonts w:ascii="Times New Roman" w:hAnsi="Times New Roman" w:cs="Times New Roman"/>
          <w:sz w:val="24"/>
          <w:szCs w:val="24"/>
          <w:lang w:val="en-US"/>
        </w:rPr>
        <w:t xml:space="preserve">, </w:t>
      </w:r>
      <w:hyperlink r:id="rId34" w:history="1">
        <w:r w:rsidRPr="00B62D23">
          <w:rPr>
            <w:rStyle w:val="Hyperlink"/>
            <w:rFonts w:ascii="Times New Roman" w:hAnsi="Times New Roman" w:cs="Times New Roman"/>
            <w:sz w:val="24"/>
            <w:szCs w:val="24"/>
          </w:rPr>
          <w:t>https://www.ceps.eu/wp-content/uploads/2020/05/PI2020-11_DG_The-great-lockdown.pdf</w:t>
        </w:r>
      </w:hyperlink>
      <w:r w:rsidRPr="00B62D23">
        <w:rPr>
          <w:rFonts w:ascii="Times New Roman" w:hAnsi="Times New Roman" w:cs="Times New Roman"/>
          <w:sz w:val="24"/>
          <w:szCs w:val="24"/>
        </w:rPr>
        <w:t>.</w:t>
      </w:r>
    </w:p>
    <w:p w14:paraId="4A86C473" w14:textId="77777777" w:rsidR="003E59F4" w:rsidRDefault="003E59F4" w:rsidP="005C79D9">
      <w:pPr>
        <w:spacing w:after="0" w:line="240" w:lineRule="auto"/>
        <w:jc w:val="both"/>
        <w:rPr>
          <w:rFonts w:ascii="Times New Roman" w:hAnsi="Times New Roman" w:cs="Times New Roman"/>
          <w:sz w:val="24"/>
          <w:szCs w:val="24"/>
          <w:lang w:val="en-US"/>
        </w:rPr>
      </w:pPr>
    </w:p>
    <w:p w14:paraId="2F2B595A" w14:textId="77777777" w:rsidR="0067167C" w:rsidRPr="00532D21" w:rsidRDefault="0067167C" w:rsidP="0067167C">
      <w:pPr>
        <w:spacing w:after="0" w:line="240" w:lineRule="auto"/>
        <w:jc w:val="both"/>
        <w:rPr>
          <w:rFonts w:ascii="Times New Roman" w:hAnsi="Times New Roman" w:cs="Times New Roman"/>
          <w:i/>
          <w:sz w:val="24"/>
          <w:szCs w:val="24"/>
          <w:lang w:val="en-US"/>
        </w:rPr>
      </w:pPr>
      <w:r w:rsidRPr="00532D21">
        <w:rPr>
          <w:rFonts w:ascii="Times New Roman" w:hAnsi="Times New Roman" w:cs="Times New Roman"/>
          <w:sz w:val="24"/>
          <w:szCs w:val="24"/>
          <w:lang w:val="en-US"/>
        </w:rPr>
        <w:t>Hale, T., Angrist, N., Kira, B., Petherick, A., Phillips, T., and Webster, S., 2020</w:t>
      </w:r>
      <w:r>
        <w:rPr>
          <w:rFonts w:ascii="Times New Roman" w:hAnsi="Times New Roman" w:cs="Times New Roman"/>
          <w:sz w:val="24"/>
          <w:szCs w:val="24"/>
          <w:lang w:val="en-US"/>
        </w:rPr>
        <w:t>a</w:t>
      </w:r>
      <w:r w:rsidRPr="00532D21">
        <w:rPr>
          <w:rFonts w:ascii="Times New Roman" w:hAnsi="Times New Roman" w:cs="Times New Roman"/>
          <w:sz w:val="24"/>
          <w:szCs w:val="24"/>
          <w:lang w:val="en-US"/>
        </w:rPr>
        <w:t xml:space="preserve">.  “Variation in Government Responses to Covid-19”, working paper, University of Oxford, </w:t>
      </w:r>
      <w:hyperlink r:id="rId35" w:history="1">
        <w:r w:rsidRPr="00532D21">
          <w:rPr>
            <w:rStyle w:val="Hyperlink"/>
            <w:rFonts w:ascii="Times New Roman" w:hAnsi="Times New Roman" w:cs="Times New Roman"/>
            <w:sz w:val="24"/>
            <w:szCs w:val="24"/>
          </w:rPr>
          <w:t>https://www.bsg.ox.ac.uk/sites/default/files/2020-05/BSG-WP-2020-032-v6.0.pdf</w:t>
        </w:r>
      </w:hyperlink>
      <w:r w:rsidRPr="00532D21">
        <w:rPr>
          <w:rFonts w:ascii="Times New Roman" w:hAnsi="Times New Roman" w:cs="Times New Roman"/>
          <w:sz w:val="24"/>
          <w:szCs w:val="24"/>
        </w:rPr>
        <w:t>.</w:t>
      </w:r>
    </w:p>
    <w:p w14:paraId="2D0FA8EA" w14:textId="77777777" w:rsidR="0067167C" w:rsidRDefault="0067167C" w:rsidP="0067167C">
      <w:pPr>
        <w:spacing w:after="0" w:line="240" w:lineRule="auto"/>
        <w:jc w:val="both"/>
        <w:rPr>
          <w:rFonts w:ascii="Times New Roman" w:hAnsi="Times New Roman" w:cs="Times New Roman"/>
          <w:sz w:val="24"/>
          <w:szCs w:val="24"/>
          <w:lang w:val="en-US"/>
        </w:rPr>
      </w:pPr>
    </w:p>
    <w:p w14:paraId="4CCFDCF8" w14:textId="77777777" w:rsidR="0067167C" w:rsidRDefault="0067167C" w:rsidP="0067167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 Hale, A., </w:t>
      </w:r>
      <w:r w:rsidRPr="00532D21">
        <w:rPr>
          <w:rFonts w:ascii="Times New Roman" w:hAnsi="Times New Roman" w:cs="Times New Roman"/>
          <w:sz w:val="24"/>
          <w:szCs w:val="24"/>
          <w:lang w:val="en-US"/>
        </w:rPr>
        <w:t xml:space="preserve">Kira, B., Petherick, A., Phillips, T., </w:t>
      </w:r>
      <w:r>
        <w:rPr>
          <w:rFonts w:ascii="Times New Roman" w:hAnsi="Times New Roman" w:cs="Times New Roman"/>
          <w:sz w:val="24"/>
          <w:szCs w:val="24"/>
          <w:lang w:val="en-US"/>
        </w:rPr>
        <w:t xml:space="preserve">Sridhar, D., Thompson, R., </w:t>
      </w:r>
      <w:r w:rsidRPr="00532D21">
        <w:rPr>
          <w:rFonts w:ascii="Times New Roman" w:hAnsi="Times New Roman" w:cs="Times New Roman"/>
          <w:sz w:val="24"/>
          <w:szCs w:val="24"/>
          <w:lang w:val="en-US"/>
        </w:rPr>
        <w:t xml:space="preserve">Webster, S., </w:t>
      </w:r>
      <w:r>
        <w:rPr>
          <w:rFonts w:ascii="Times New Roman" w:hAnsi="Times New Roman" w:cs="Times New Roman"/>
          <w:sz w:val="24"/>
          <w:szCs w:val="24"/>
          <w:lang w:val="en-US"/>
        </w:rPr>
        <w:t xml:space="preserve">and Angrist, N., </w:t>
      </w:r>
      <w:r w:rsidRPr="00532D21">
        <w:rPr>
          <w:rFonts w:ascii="Times New Roman" w:hAnsi="Times New Roman" w:cs="Times New Roman"/>
          <w:sz w:val="24"/>
          <w:szCs w:val="24"/>
          <w:lang w:val="en-US"/>
        </w:rPr>
        <w:t>2020</w:t>
      </w:r>
      <w:r>
        <w:rPr>
          <w:rFonts w:ascii="Times New Roman" w:hAnsi="Times New Roman" w:cs="Times New Roman"/>
          <w:sz w:val="24"/>
          <w:szCs w:val="24"/>
          <w:lang w:val="en-US"/>
        </w:rPr>
        <w:t xml:space="preserve">b.  “Global Assessment of the Relationship between Government Response Measures and Covid-19 Deaths”, </w:t>
      </w:r>
      <w:hyperlink r:id="rId36" w:history="1">
        <w:r w:rsidRPr="00430447">
          <w:rPr>
            <w:rStyle w:val="Hyperlink"/>
            <w:rFonts w:ascii="Times New Roman" w:hAnsi="Times New Roman" w:cs="Times New Roman"/>
            <w:sz w:val="24"/>
            <w:szCs w:val="24"/>
            <w:lang w:val="en-US"/>
          </w:rPr>
          <w:t>https://www.medrxiv.org/content/10.1101/2020.07.04.20145334v1</w:t>
        </w:r>
      </w:hyperlink>
      <w:r>
        <w:rPr>
          <w:rFonts w:ascii="Times New Roman" w:hAnsi="Times New Roman" w:cs="Times New Roman"/>
          <w:sz w:val="24"/>
          <w:szCs w:val="24"/>
          <w:lang w:val="en-US"/>
        </w:rPr>
        <w:t>.</w:t>
      </w:r>
    </w:p>
    <w:p w14:paraId="5D5CE644" w14:textId="77777777" w:rsidR="0056711F" w:rsidRDefault="0056711F" w:rsidP="0056711F">
      <w:pPr>
        <w:spacing w:after="0" w:line="240" w:lineRule="auto"/>
        <w:jc w:val="both"/>
        <w:rPr>
          <w:rFonts w:ascii="Times New Roman" w:hAnsi="Times New Roman" w:cs="Times New Roman"/>
          <w:sz w:val="24"/>
          <w:szCs w:val="24"/>
          <w:lang w:val="en-US"/>
        </w:rPr>
      </w:pPr>
    </w:p>
    <w:p w14:paraId="4FFAA62E" w14:textId="77777777" w:rsidR="0056711F" w:rsidRPr="00C9378C" w:rsidRDefault="0056711F" w:rsidP="0056711F">
      <w:pPr>
        <w:spacing w:after="0" w:line="240" w:lineRule="auto"/>
        <w:jc w:val="both"/>
        <w:rPr>
          <w:rFonts w:ascii="Times New Roman" w:hAnsi="Times New Roman" w:cs="Times New Roman"/>
          <w:sz w:val="24"/>
          <w:szCs w:val="24"/>
          <w:lang w:val="en-US"/>
        </w:rPr>
      </w:pPr>
      <w:r w:rsidRPr="00C9378C">
        <w:rPr>
          <w:rFonts w:ascii="Times New Roman" w:hAnsi="Times New Roman" w:cs="Times New Roman"/>
          <w:sz w:val="24"/>
          <w:szCs w:val="24"/>
          <w:lang w:val="en-US"/>
        </w:rPr>
        <w:t xml:space="preserve">Holden, R., and Preston, B., 2020. “The Costs of the Shutdown are Overestimated”, </w:t>
      </w:r>
      <w:hyperlink r:id="rId37" w:history="1">
        <w:r w:rsidRPr="00C9378C">
          <w:rPr>
            <w:rStyle w:val="Hyperlink"/>
            <w:rFonts w:ascii="Times New Roman" w:hAnsi="Times New Roman" w:cs="Times New Roman"/>
            <w:sz w:val="24"/>
            <w:szCs w:val="24"/>
          </w:rPr>
          <w:t>https://theconversation.com/the-costs-of-the-shutdown-are-overestimated-theyre-outweighed-by-its-1-trillion-benefit-138303</w:t>
        </w:r>
      </w:hyperlink>
      <w:r w:rsidRPr="00C9378C">
        <w:rPr>
          <w:rFonts w:ascii="Times New Roman" w:hAnsi="Times New Roman" w:cs="Times New Roman"/>
          <w:sz w:val="24"/>
          <w:szCs w:val="24"/>
        </w:rPr>
        <w:t>.</w:t>
      </w:r>
    </w:p>
    <w:p w14:paraId="5DC606A1" w14:textId="77777777" w:rsidR="00F9520C" w:rsidRDefault="00F9520C" w:rsidP="00F9520C">
      <w:pPr>
        <w:spacing w:after="0" w:line="240" w:lineRule="auto"/>
        <w:jc w:val="both"/>
        <w:rPr>
          <w:rFonts w:ascii="Times New Roman" w:hAnsi="Times New Roman" w:cs="Times New Roman"/>
          <w:sz w:val="24"/>
          <w:szCs w:val="24"/>
          <w:lang w:val="en-US"/>
        </w:rPr>
      </w:pPr>
    </w:p>
    <w:p w14:paraId="10F9391D" w14:textId="77777777" w:rsidR="00F9520C" w:rsidRDefault="00F9520C" w:rsidP="00F9520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Hope, C., 2020.  “Covid-19 Death Rate is Higher in European Countries with a Low Flu Intensity Since 2018”, Cambridge Judge Business School working paper 03/2020, </w:t>
      </w:r>
      <w:hyperlink r:id="rId38" w:history="1">
        <w:r w:rsidRPr="00355CD2">
          <w:rPr>
            <w:rStyle w:val="Hyperlink"/>
            <w:rFonts w:ascii="Times New Roman" w:hAnsi="Times New Roman" w:cs="Times New Roman"/>
            <w:sz w:val="24"/>
            <w:szCs w:val="24"/>
            <w:lang w:val="en-US"/>
          </w:rPr>
          <w:t>https://www.jbs.cam.ac.uk/wp-content/uploads/2020/08/wp2003.pdf</w:t>
        </w:r>
      </w:hyperlink>
      <w:r>
        <w:rPr>
          <w:rFonts w:ascii="Times New Roman" w:hAnsi="Times New Roman" w:cs="Times New Roman"/>
          <w:sz w:val="24"/>
          <w:szCs w:val="24"/>
          <w:lang w:val="en-US"/>
        </w:rPr>
        <w:t>.</w:t>
      </w:r>
    </w:p>
    <w:p w14:paraId="4410D338" w14:textId="77777777" w:rsidR="007B6FE2" w:rsidRDefault="007B6FE2" w:rsidP="007B6FE2">
      <w:pPr>
        <w:spacing w:after="0" w:line="240" w:lineRule="auto"/>
        <w:jc w:val="both"/>
        <w:rPr>
          <w:rFonts w:ascii="Times New Roman" w:hAnsi="Times New Roman" w:cs="Times New Roman"/>
          <w:sz w:val="24"/>
          <w:szCs w:val="24"/>
        </w:rPr>
      </w:pPr>
    </w:p>
    <w:p w14:paraId="5483E256" w14:textId="77777777" w:rsidR="00E52F9A" w:rsidRPr="00E52F9A" w:rsidRDefault="00E52F9A" w:rsidP="007B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Huang, L., </w:t>
      </w:r>
      <w:proofErr w:type="spellStart"/>
      <w:r>
        <w:rPr>
          <w:rFonts w:ascii="Times New Roman" w:hAnsi="Times New Roman" w:cs="Times New Roman"/>
          <w:sz w:val="24"/>
          <w:szCs w:val="24"/>
        </w:rPr>
        <w:t>Fritjers</w:t>
      </w:r>
      <w:proofErr w:type="spellEnd"/>
      <w:r>
        <w:rPr>
          <w:rFonts w:ascii="Times New Roman" w:hAnsi="Times New Roman" w:cs="Times New Roman"/>
          <w:sz w:val="24"/>
          <w:szCs w:val="24"/>
        </w:rPr>
        <w:t xml:space="preserve">, P., Dalziel, K., and Clarke, P., 2018.  “Life Satisfaction, QALYs, and the Monetary Value of Health”, </w:t>
      </w:r>
      <w:r>
        <w:rPr>
          <w:rFonts w:ascii="Times New Roman" w:hAnsi="Times New Roman" w:cs="Times New Roman"/>
          <w:i/>
          <w:sz w:val="24"/>
          <w:szCs w:val="24"/>
        </w:rPr>
        <w:t>Social S</w:t>
      </w:r>
      <w:r w:rsidR="001438E4">
        <w:rPr>
          <w:rFonts w:ascii="Times New Roman" w:hAnsi="Times New Roman" w:cs="Times New Roman"/>
          <w:i/>
          <w:sz w:val="24"/>
          <w:szCs w:val="24"/>
        </w:rPr>
        <w:t>cience &amp;</w:t>
      </w:r>
      <w:r>
        <w:rPr>
          <w:rFonts w:ascii="Times New Roman" w:hAnsi="Times New Roman" w:cs="Times New Roman"/>
          <w:i/>
          <w:sz w:val="24"/>
          <w:szCs w:val="24"/>
        </w:rPr>
        <w:t xml:space="preserve"> Medicine</w:t>
      </w:r>
      <w:r>
        <w:rPr>
          <w:rFonts w:ascii="Times New Roman" w:hAnsi="Times New Roman" w:cs="Times New Roman"/>
          <w:sz w:val="24"/>
          <w:szCs w:val="24"/>
        </w:rPr>
        <w:t xml:space="preserve">, vol. 211, pp. 131-136, </w:t>
      </w:r>
      <w:hyperlink r:id="rId39" w:history="1">
        <w:r w:rsidR="001438E4" w:rsidRPr="003003AE">
          <w:rPr>
            <w:rStyle w:val="Hyperlink"/>
            <w:rFonts w:ascii="Times New Roman" w:hAnsi="Times New Roman" w:cs="Times New Roman"/>
            <w:sz w:val="24"/>
            <w:szCs w:val="24"/>
          </w:rPr>
          <w:t>https://www.sciencedirect.com/science/article/pii/S0277953618303095</w:t>
        </w:r>
      </w:hyperlink>
      <w:r w:rsidR="001438E4">
        <w:rPr>
          <w:rFonts w:ascii="Times New Roman" w:hAnsi="Times New Roman" w:cs="Times New Roman"/>
          <w:sz w:val="24"/>
          <w:szCs w:val="24"/>
        </w:rPr>
        <w:t>.</w:t>
      </w:r>
    </w:p>
    <w:p w14:paraId="628ED2A9" w14:textId="77777777" w:rsidR="00E52F9A" w:rsidRDefault="00E52F9A" w:rsidP="007B6FE2">
      <w:pPr>
        <w:spacing w:after="0" w:line="240" w:lineRule="auto"/>
        <w:jc w:val="both"/>
        <w:rPr>
          <w:rFonts w:ascii="Times New Roman" w:hAnsi="Times New Roman" w:cs="Times New Roman"/>
          <w:sz w:val="24"/>
          <w:szCs w:val="24"/>
        </w:rPr>
      </w:pPr>
    </w:p>
    <w:p w14:paraId="1C3479EF" w14:textId="77777777" w:rsidR="004A6E8F" w:rsidRDefault="004A6E8F" w:rsidP="007B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IMF, 2020.  </w:t>
      </w:r>
      <w:r w:rsidRPr="004A6E8F">
        <w:rPr>
          <w:rFonts w:ascii="Times New Roman" w:hAnsi="Times New Roman" w:cs="Times New Roman"/>
          <w:i/>
          <w:sz w:val="24"/>
          <w:szCs w:val="24"/>
        </w:rPr>
        <w:t>World Economic Outlook, October 2020: A Long and Difficult Ascent</w:t>
      </w:r>
      <w:r>
        <w:rPr>
          <w:rFonts w:ascii="Times New Roman" w:hAnsi="Times New Roman" w:cs="Times New Roman"/>
          <w:sz w:val="24"/>
          <w:szCs w:val="24"/>
        </w:rPr>
        <w:t xml:space="preserve">, </w:t>
      </w:r>
      <w:hyperlink r:id="rId40" w:history="1">
        <w:r w:rsidRPr="004E3148">
          <w:rPr>
            <w:rStyle w:val="Hyperlink"/>
            <w:rFonts w:ascii="Times New Roman" w:hAnsi="Times New Roman" w:cs="Times New Roman"/>
            <w:sz w:val="24"/>
            <w:szCs w:val="24"/>
          </w:rPr>
          <w:t>https://www.imf.org/en/Publications/WEO/Issues/2020/09/30/world-economic-outlook-october-2020</w:t>
        </w:r>
      </w:hyperlink>
      <w:r>
        <w:rPr>
          <w:rFonts w:ascii="Times New Roman" w:hAnsi="Times New Roman" w:cs="Times New Roman"/>
          <w:sz w:val="24"/>
          <w:szCs w:val="24"/>
        </w:rPr>
        <w:t>.</w:t>
      </w:r>
    </w:p>
    <w:p w14:paraId="243685D1" w14:textId="77777777" w:rsidR="004A6E8F" w:rsidRDefault="004A6E8F" w:rsidP="007B6FE2">
      <w:pPr>
        <w:spacing w:after="0" w:line="240" w:lineRule="auto"/>
        <w:jc w:val="both"/>
        <w:rPr>
          <w:rFonts w:ascii="Times New Roman" w:hAnsi="Times New Roman" w:cs="Times New Roman"/>
          <w:sz w:val="24"/>
          <w:szCs w:val="24"/>
        </w:rPr>
      </w:pPr>
    </w:p>
    <w:p w14:paraId="5AB85B0C" w14:textId="77777777" w:rsidR="007C2CFE" w:rsidRDefault="007C2CFE" w:rsidP="007B6FE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Kompas</w:t>
      </w:r>
      <w:proofErr w:type="spellEnd"/>
      <w:r>
        <w:rPr>
          <w:rFonts w:ascii="Times New Roman" w:hAnsi="Times New Roman" w:cs="Times New Roman"/>
          <w:sz w:val="24"/>
          <w:szCs w:val="24"/>
        </w:rPr>
        <w:t>, T., Grafton, R., Che, T., Chu, L., and Camac, J., 2020.  “Health and Economic Costs of Early, Delayed and no Suppression</w:t>
      </w:r>
      <w:r w:rsidR="004A7600">
        <w:rPr>
          <w:rFonts w:ascii="Times New Roman" w:hAnsi="Times New Roman" w:cs="Times New Roman"/>
          <w:sz w:val="24"/>
          <w:szCs w:val="24"/>
        </w:rPr>
        <w:t xml:space="preserve"> of Covid-19: The Ca</w:t>
      </w:r>
      <w:r w:rsidR="00B829B9">
        <w:rPr>
          <w:rFonts w:ascii="Times New Roman" w:hAnsi="Times New Roman" w:cs="Times New Roman"/>
          <w:sz w:val="24"/>
          <w:szCs w:val="24"/>
        </w:rPr>
        <w:t>s</w:t>
      </w:r>
      <w:r w:rsidR="004A7600">
        <w:rPr>
          <w:rFonts w:ascii="Times New Roman" w:hAnsi="Times New Roman" w:cs="Times New Roman"/>
          <w:sz w:val="24"/>
          <w:szCs w:val="24"/>
        </w:rPr>
        <w:t xml:space="preserve">e of Australia”, </w:t>
      </w:r>
      <w:hyperlink r:id="rId41" w:history="1">
        <w:r w:rsidR="00B829B9" w:rsidRPr="00A80045">
          <w:rPr>
            <w:rStyle w:val="Hyperlink"/>
            <w:rFonts w:ascii="Times New Roman" w:hAnsi="Times New Roman" w:cs="Times New Roman"/>
            <w:sz w:val="24"/>
            <w:szCs w:val="24"/>
          </w:rPr>
          <w:t>https://www.medrxiv.org/content/10.1101/2020.06.21.20136549v1.full.pdf</w:t>
        </w:r>
      </w:hyperlink>
      <w:r w:rsidR="00B829B9">
        <w:rPr>
          <w:rFonts w:ascii="Times New Roman" w:hAnsi="Times New Roman" w:cs="Times New Roman"/>
          <w:sz w:val="24"/>
          <w:szCs w:val="24"/>
        </w:rPr>
        <w:t>.</w:t>
      </w:r>
    </w:p>
    <w:p w14:paraId="6D89B712" w14:textId="77777777" w:rsidR="007C2CFE" w:rsidRDefault="007C2CFE" w:rsidP="007B6FE2">
      <w:pPr>
        <w:spacing w:after="0" w:line="240" w:lineRule="auto"/>
        <w:jc w:val="both"/>
        <w:rPr>
          <w:rFonts w:ascii="Times New Roman" w:hAnsi="Times New Roman" w:cs="Times New Roman"/>
          <w:sz w:val="24"/>
          <w:szCs w:val="24"/>
        </w:rPr>
      </w:pPr>
    </w:p>
    <w:p w14:paraId="574113F7" w14:textId="77777777" w:rsidR="00484383" w:rsidRPr="00484383" w:rsidRDefault="00484383" w:rsidP="007B6FE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Kularatna</w:t>
      </w:r>
      <w:proofErr w:type="spellEnd"/>
      <w:r>
        <w:rPr>
          <w:rFonts w:ascii="Times New Roman" w:hAnsi="Times New Roman" w:cs="Times New Roman"/>
          <w:sz w:val="24"/>
          <w:szCs w:val="24"/>
        </w:rPr>
        <w:t xml:space="preserve">, S., Lalloo, R., and Johnson, N., 2020.  “Demonstration of High Value Care to Improve Oral Health of a Remote Indigenous Community in Australia”, </w:t>
      </w:r>
      <w:r>
        <w:rPr>
          <w:rFonts w:ascii="Times New Roman" w:hAnsi="Times New Roman" w:cs="Times New Roman"/>
          <w:i/>
          <w:sz w:val="24"/>
          <w:szCs w:val="24"/>
        </w:rPr>
        <w:t>Health and Quality of Life Outcomes</w:t>
      </w:r>
      <w:r>
        <w:rPr>
          <w:rFonts w:ascii="Times New Roman" w:hAnsi="Times New Roman" w:cs="Times New Roman"/>
          <w:sz w:val="24"/>
          <w:szCs w:val="24"/>
        </w:rPr>
        <w:t xml:space="preserve">, </w:t>
      </w:r>
      <w:hyperlink r:id="rId42" w:history="1">
        <w:r w:rsidRPr="00F02C01">
          <w:rPr>
            <w:rStyle w:val="Hyperlink"/>
            <w:rFonts w:ascii="Times New Roman" w:hAnsi="Times New Roman" w:cs="Times New Roman"/>
            <w:sz w:val="24"/>
            <w:szCs w:val="24"/>
          </w:rPr>
          <w:t>https://pubmed.ncbi.nlm.nih.gov/32093749/</w:t>
        </w:r>
      </w:hyperlink>
      <w:r>
        <w:rPr>
          <w:rFonts w:ascii="Times New Roman" w:hAnsi="Times New Roman" w:cs="Times New Roman"/>
          <w:sz w:val="24"/>
          <w:szCs w:val="24"/>
        </w:rPr>
        <w:t>.</w:t>
      </w:r>
    </w:p>
    <w:p w14:paraId="76A7D041" w14:textId="77777777" w:rsidR="00484383" w:rsidRDefault="00484383" w:rsidP="007B6FE2">
      <w:pPr>
        <w:spacing w:after="0" w:line="240" w:lineRule="auto"/>
        <w:jc w:val="both"/>
        <w:rPr>
          <w:rFonts w:ascii="Times New Roman" w:hAnsi="Times New Roman" w:cs="Times New Roman"/>
          <w:sz w:val="24"/>
          <w:szCs w:val="24"/>
        </w:rPr>
      </w:pPr>
    </w:p>
    <w:p w14:paraId="1EED528A" w14:textId="77777777" w:rsidR="00F03931" w:rsidRDefault="00F03931" w:rsidP="007B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Lally, M., 2020.  “The Costs and Benefits of Covid-19 Lockdowns in New Zealand”, working paper, available from the author at </w:t>
      </w:r>
      <w:hyperlink r:id="rId43" w:history="1">
        <w:r w:rsidRPr="008B117F">
          <w:rPr>
            <w:rStyle w:val="Hyperlink"/>
            <w:rFonts w:ascii="Times New Roman" w:hAnsi="Times New Roman" w:cs="Times New Roman"/>
            <w:sz w:val="24"/>
            <w:szCs w:val="24"/>
          </w:rPr>
          <w:t>lallym@xtra.co.nz</w:t>
        </w:r>
      </w:hyperlink>
      <w:r>
        <w:rPr>
          <w:rFonts w:ascii="Times New Roman" w:hAnsi="Times New Roman" w:cs="Times New Roman"/>
          <w:sz w:val="24"/>
          <w:szCs w:val="24"/>
        </w:rPr>
        <w:t>.</w:t>
      </w:r>
    </w:p>
    <w:p w14:paraId="1184349A" w14:textId="77777777" w:rsidR="00F03931" w:rsidRDefault="00F03931" w:rsidP="007B6FE2">
      <w:pPr>
        <w:spacing w:after="0" w:line="240" w:lineRule="auto"/>
        <w:jc w:val="both"/>
        <w:rPr>
          <w:rFonts w:ascii="Times New Roman" w:hAnsi="Times New Roman" w:cs="Times New Roman"/>
          <w:sz w:val="24"/>
          <w:szCs w:val="24"/>
        </w:rPr>
      </w:pPr>
    </w:p>
    <w:p w14:paraId="17E2C1D4" w14:textId="77777777" w:rsidR="00BB15CF" w:rsidRPr="004E6A95" w:rsidRDefault="00BB15CF" w:rsidP="007B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Lewkowski</w:t>
      </w:r>
      <w:r w:rsidR="004E6A95">
        <w:rPr>
          <w:rFonts w:ascii="Times New Roman" w:hAnsi="Times New Roman" w:cs="Times New Roman"/>
          <w:sz w:val="24"/>
          <w:szCs w:val="24"/>
        </w:rPr>
        <w:t xml:space="preserve">, K., Fritschi, L., Heyworth, J., Liew, D., and Li, I., 2020.  “Productivity Burden of Occupational Non-Induced Hearing Loss in Australia”, </w:t>
      </w:r>
      <w:r w:rsidR="004E6A95">
        <w:rPr>
          <w:rFonts w:ascii="Times New Roman" w:hAnsi="Times New Roman" w:cs="Times New Roman"/>
          <w:i/>
          <w:sz w:val="24"/>
          <w:szCs w:val="24"/>
        </w:rPr>
        <w:t>International Journal of Environmental Research and Public Health</w:t>
      </w:r>
      <w:r w:rsidR="004E6A95">
        <w:rPr>
          <w:rFonts w:ascii="Times New Roman" w:hAnsi="Times New Roman" w:cs="Times New Roman"/>
          <w:sz w:val="24"/>
          <w:szCs w:val="24"/>
        </w:rPr>
        <w:t xml:space="preserve">, vol. 17, </w:t>
      </w:r>
      <w:hyperlink r:id="rId44" w:history="1">
        <w:r w:rsidR="004E6A95" w:rsidRPr="003003AE">
          <w:rPr>
            <w:rStyle w:val="Hyperlink"/>
            <w:rFonts w:ascii="Times New Roman" w:hAnsi="Times New Roman" w:cs="Times New Roman"/>
            <w:sz w:val="24"/>
            <w:szCs w:val="24"/>
          </w:rPr>
          <w:t>https://www.ncbi.nlm.nih.gov/pmc/articles/PMC7369732/</w:t>
        </w:r>
      </w:hyperlink>
      <w:r w:rsidR="004E6A95">
        <w:rPr>
          <w:rFonts w:ascii="Times New Roman" w:hAnsi="Times New Roman" w:cs="Times New Roman"/>
          <w:sz w:val="24"/>
          <w:szCs w:val="24"/>
        </w:rPr>
        <w:t>.</w:t>
      </w:r>
    </w:p>
    <w:p w14:paraId="7132993C" w14:textId="77777777" w:rsidR="00BB15CF" w:rsidRDefault="00BB15CF" w:rsidP="007B6FE2">
      <w:pPr>
        <w:spacing w:after="0" w:line="240" w:lineRule="auto"/>
        <w:jc w:val="both"/>
        <w:rPr>
          <w:rFonts w:ascii="Times New Roman" w:hAnsi="Times New Roman" w:cs="Times New Roman"/>
          <w:sz w:val="24"/>
          <w:szCs w:val="24"/>
        </w:rPr>
      </w:pPr>
    </w:p>
    <w:p w14:paraId="3D2D8DFB" w14:textId="77777777" w:rsidR="007B6FE2" w:rsidRPr="0033361D" w:rsidRDefault="007B6FE2" w:rsidP="007B6FE2">
      <w:pPr>
        <w:spacing w:after="0" w:line="240" w:lineRule="auto"/>
        <w:jc w:val="both"/>
        <w:rPr>
          <w:rFonts w:ascii="Times New Roman" w:hAnsi="Times New Roman" w:cs="Times New Roman"/>
          <w:sz w:val="24"/>
          <w:szCs w:val="24"/>
        </w:rPr>
      </w:pPr>
      <w:r w:rsidRPr="0033361D">
        <w:rPr>
          <w:rFonts w:ascii="Times New Roman" w:hAnsi="Times New Roman" w:cs="Times New Roman"/>
          <w:sz w:val="24"/>
          <w:szCs w:val="24"/>
        </w:rPr>
        <w:t xml:space="preserve">Miles, D., Steadman, M., and Heald, A., 2020.  </w:t>
      </w:r>
      <w:r>
        <w:rPr>
          <w:rFonts w:ascii="Times New Roman" w:hAnsi="Times New Roman" w:cs="Times New Roman"/>
          <w:sz w:val="24"/>
          <w:szCs w:val="24"/>
        </w:rPr>
        <w:t>“</w:t>
      </w:r>
      <w:r w:rsidRPr="0033361D">
        <w:rPr>
          <w:rFonts w:ascii="Times New Roman" w:hAnsi="Times New Roman" w:cs="Times New Roman"/>
          <w:sz w:val="24"/>
          <w:szCs w:val="24"/>
        </w:rPr>
        <w:t>Living with Covid-19: Balancing Costs Against Benefits in the Face of the Virus</w:t>
      </w:r>
      <w:r>
        <w:rPr>
          <w:rFonts w:ascii="Times New Roman" w:hAnsi="Times New Roman" w:cs="Times New Roman"/>
          <w:sz w:val="24"/>
          <w:szCs w:val="24"/>
        </w:rPr>
        <w:t>”</w:t>
      </w:r>
      <w:r w:rsidRPr="0033361D">
        <w:rPr>
          <w:rFonts w:ascii="Times New Roman" w:hAnsi="Times New Roman" w:cs="Times New Roman"/>
          <w:sz w:val="24"/>
          <w:szCs w:val="24"/>
        </w:rPr>
        <w:t xml:space="preserve">, </w:t>
      </w:r>
      <w:r w:rsidRPr="0033361D">
        <w:rPr>
          <w:rFonts w:ascii="Times New Roman" w:hAnsi="Times New Roman" w:cs="Times New Roman"/>
          <w:i/>
          <w:sz w:val="24"/>
          <w:szCs w:val="24"/>
        </w:rPr>
        <w:t>National Institute Economic Review</w:t>
      </w:r>
      <w:r w:rsidRPr="0033361D">
        <w:rPr>
          <w:rFonts w:ascii="Times New Roman" w:hAnsi="Times New Roman" w:cs="Times New Roman"/>
          <w:sz w:val="24"/>
          <w:szCs w:val="24"/>
        </w:rPr>
        <w:t xml:space="preserve">, forthcoming </w:t>
      </w:r>
      <w:hyperlink r:id="rId45" w:history="1">
        <w:r w:rsidRPr="0033361D">
          <w:rPr>
            <w:rStyle w:val="Hyperlink"/>
            <w:rFonts w:ascii="Times New Roman" w:hAnsi="Times New Roman" w:cs="Times New Roman"/>
            <w:sz w:val="24"/>
            <w:szCs w:val="24"/>
          </w:rPr>
          <w:t>http://www.imperial.ac.uk/people/d.miles</w:t>
        </w:r>
      </w:hyperlink>
      <w:r w:rsidRPr="0033361D">
        <w:rPr>
          <w:rFonts w:ascii="Times New Roman" w:hAnsi="Times New Roman" w:cs="Times New Roman"/>
          <w:sz w:val="24"/>
          <w:szCs w:val="24"/>
        </w:rPr>
        <w:t>.</w:t>
      </w:r>
    </w:p>
    <w:p w14:paraId="17ACA157" w14:textId="77777777" w:rsidR="00442067" w:rsidRDefault="00442067" w:rsidP="005C79D9">
      <w:pPr>
        <w:spacing w:after="0" w:line="240" w:lineRule="auto"/>
        <w:jc w:val="both"/>
        <w:rPr>
          <w:rFonts w:ascii="Times New Roman" w:hAnsi="Times New Roman" w:cs="Times New Roman"/>
          <w:sz w:val="24"/>
          <w:szCs w:val="24"/>
          <w:lang w:val="en-US"/>
        </w:rPr>
      </w:pPr>
    </w:p>
    <w:p w14:paraId="54B64133" w14:textId="77777777" w:rsidR="00C54515" w:rsidRDefault="00C54515"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Moss, R., Wood, J., and </w:t>
      </w:r>
      <w:proofErr w:type="spellStart"/>
      <w:r>
        <w:rPr>
          <w:rFonts w:ascii="Times New Roman" w:hAnsi="Times New Roman" w:cs="Times New Roman"/>
          <w:sz w:val="24"/>
          <w:szCs w:val="24"/>
          <w:lang w:val="en-US"/>
        </w:rPr>
        <w:t>McVernon</w:t>
      </w:r>
      <w:proofErr w:type="spellEnd"/>
      <w:r>
        <w:rPr>
          <w:rFonts w:ascii="Times New Roman" w:hAnsi="Times New Roman" w:cs="Times New Roman"/>
          <w:sz w:val="24"/>
          <w:szCs w:val="24"/>
          <w:lang w:val="en-US"/>
        </w:rPr>
        <w:t xml:space="preserve">, J., 2020.  “Modelling the Impact of Covid-19 in Australia to inform Transmission Reducing Measures and Health System Preparedness”, </w:t>
      </w:r>
      <w:hyperlink r:id="rId46" w:history="1">
        <w:r w:rsidRPr="004279D9">
          <w:rPr>
            <w:rStyle w:val="Hyperlink"/>
            <w:rFonts w:ascii="Times New Roman" w:hAnsi="Times New Roman" w:cs="Times New Roman"/>
            <w:sz w:val="24"/>
            <w:szCs w:val="24"/>
            <w:lang w:val="en-US"/>
          </w:rPr>
          <w:t>https://www.medrxiv.org/content/10.1101/2020.04.07.20056184v1.full.pdf</w:t>
        </w:r>
      </w:hyperlink>
      <w:r>
        <w:rPr>
          <w:rFonts w:ascii="Times New Roman" w:hAnsi="Times New Roman" w:cs="Times New Roman"/>
          <w:sz w:val="24"/>
          <w:szCs w:val="24"/>
          <w:lang w:val="en-US"/>
        </w:rPr>
        <w:t>.</w:t>
      </w:r>
    </w:p>
    <w:p w14:paraId="6EF01D03" w14:textId="77777777" w:rsidR="002D6FF7" w:rsidRDefault="002D6FF7" w:rsidP="002D6FF7">
      <w:pPr>
        <w:spacing w:after="0" w:line="240" w:lineRule="auto"/>
        <w:jc w:val="both"/>
        <w:rPr>
          <w:rFonts w:ascii="Times New Roman" w:hAnsi="Times New Roman" w:cs="Times New Roman"/>
          <w:sz w:val="24"/>
          <w:szCs w:val="24"/>
        </w:rPr>
      </w:pPr>
    </w:p>
    <w:p w14:paraId="0C95F3FB" w14:textId="77777777" w:rsidR="002D6FF7" w:rsidRPr="00A83A10" w:rsidRDefault="002D6FF7" w:rsidP="002D6FF7">
      <w:pPr>
        <w:spacing w:after="0" w:line="240" w:lineRule="auto"/>
        <w:jc w:val="both"/>
        <w:rPr>
          <w:rFonts w:ascii="Times New Roman" w:hAnsi="Times New Roman" w:cs="Times New Roman"/>
          <w:sz w:val="24"/>
          <w:szCs w:val="24"/>
        </w:rPr>
      </w:pPr>
      <w:r w:rsidRPr="00A83A10">
        <w:rPr>
          <w:rFonts w:ascii="Times New Roman" w:hAnsi="Times New Roman" w:cs="Times New Roman"/>
          <w:sz w:val="24"/>
          <w:szCs w:val="24"/>
        </w:rPr>
        <w:t xml:space="preserve">NHS, 2018. </w:t>
      </w:r>
      <w:r w:rsidRPr="00A83A10">
        <w:rPr>
          <w:rFonts w:ascii="Times New Roman" w:hAnsi="Times New Roman" w:cs="Times New Roman"/>
          <w:i/>
          <w:sz w:val="24"/>
          <w:szCs w:val="24"/>
        </w:rPr>
        <w:t>National Diabetes Audit 2017-2018</w:t>
      </w:r>
      <w:r>
        <w:rPr>
          <w:rFonts w:ascii="Times New Roman" w:hAnsi="Times New Roman" w:cs="Times New Roman"/>
          <w:i/>
          <w:sz w:val="24"/>
          <w:szCs w:val="24"/>
        </w:rPr>
        <w:t xml:space="preserve"> Report 2a: Complications and Mortality</w:t>
      </w:r>
      <w:r w:rsidRPr="00A83A10">
        <w:rPr>
          <w:rFonts w:ascii="Times New Roman" w:hAnsi="Times New Roman" w:cs="Times New Roman"/>
          <w:sz w:val="24"/>
          <w:szCs w:val="24"/>
        </w:rPr>
        <w:t xml:space="preserve">, </w:t>
      </w:r>
      <w:hyperlink r:id="rId47" w:history="1">
        <w:r w:rsidRPr="00A83A10">
          <w:rPr>
            <w:rStyle w:val="Hyperlink"/>
            <w:rFonts w:ascii="Times New Roman" w:hAnsi="Times New Roman" w:cs="Times New Roman"/>
            <w:sz w:val="24"/>
            <w:szCs w:val="24"/>
          </w:rPr>
          <w:t>https://files.digital.nhs.uk/91/084B1D/National%20Diabetes%20Audit%2C%202017-18%2C%20Report%202a.pdf</w:t>
        </w:r>
      </w:hyperlink>
      <w:r w:rsidRPr="00A83A10">
        <w:rPr>
          <w:rFonts w:ascii="Times New Roman" w:hAnsi="Times New Roman" w:cs="Times New Roman"/>
          <w:sz w:val="24"/>
          <w:szCs w:val="24"/>
        </w:rPr>
        <w:t>.</w:t>
      </w:r>
    </w:p>
    <w:p w14:paraId="6FBD8945" w14:textId="77777777" w:rsidR="008669DD" w:rsidRDefault="008669DD" w:rsidP="008669DD">
      <w:pPr>
        <w:spacing w:after="0" w:line="240" w:lineRule="auto"/>
        <w:jc w:val="both"/>
        <w:rPr>
          <w:rFonts w:ascii="Times New Roman" w:hAnsi="Times New Roman" w:cs="Times New Roman"/>
          <w:sz w:val="24"/>
          <w:szCs w:val="24"/>
        </w:rPr>
      </w:pPr>
    </w:p>
    <w:p w14:paraId="554818E5" w14:textId="77777777" w:rsidR="00404651" w:rsidRPr="00404651" w:rsidRDefault="00404651"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Office of Best Practice Regulation, 2019.  </w:t>
      </w:r>
      <w:r>
        <w:rPr>
          <w:rFonts w:ascii="Times New Roman" w:hAnsi="Times New Roman" w:cs="Times New Roman"/>
          <w:i/>
          <w:sz w:val="24"/>
          <w:szCs w:val="24"/>
        </w:rPr>
        <w:t>Best Practice Regulation Guidance Note Value of a Statistical Life</w:t>
      </w:r>
      <w:r>
        <w:rPr>
          <w:rFonts w:ascii="Times New Roman" w:hAnsi="Times New Roman" w:cs="Times New Roman"/>
          <w:sz w:val="24"/>
          <w:szCs w:val="24"/>
        </w:rPr>
        <w:t xml:space="preserve">, </w:t>
      </w:r>
      <w:hyperlink r:id="rId48" w:history="1">
        <w:r w:rsidR="006A7791" w:rsidRPr="00A80045">
          <w:rPr>
            <w:rStyle w:val="Hyperlink"/>
            <w:rFonts w:ascii="Times New Roman" w:hAnsi="Times New Roman" w:cs="Times New Roman"/>
            <w:sz w:val="24"/>
            <w:szCs w:val="24"/>
          </w:rPr>
          <w:t>https://www.pmc.gov.au/sites/default/files/publications/value-of-statistical-life-guidance-note_0_0.pdf</w:t>
        </w:r>
      </w:hyperlink>
      <w:r w:rsidR="006A7791">
        <w:rPr>
          <w:rFonts w:ascii="Times New Roman" w:hAnsi="Times New Roman" w:cs="Times New Roman"/>
          <w:sz w:val="24"/>
          <w:szCs w:val="24"/>
        </w:rPr>
        <w:t>.</w:t>
      </w:r>
    </w:p>
    <w:p w14:paraId="49EFFAB5" w14:textId="77777777" w:rsidR="003827F2" w:rsidRDefault="003827F2" w:rsidP="003827F2">
      <w:pPr>
        <w:spacing w:after="0" w:line="240" w:lineRule="auto"/>
        <w:jc w:val="both"/>
        <w:rPr>
          <w:rFonts w:ascii="Times New Roman" w:hAnsi="Times New Roman" w:cs="Times New Roman"/>
          <w:sz w:val="24"/>
          <w:szCs w:val="24"/>
        </w:rPr>
      </w:pPr>
    </w:p>
    <w:p w14:paraId="1671D2B7" w14:textId="77777777" w:rsidR="003827F2" w:rsidRPr="00B765F3" w:rsidRDefault="003827F2" w:rsidP="003827F2">
      <w:pPr>
        <w:spacing w:after="0" w:line="240" w:lineRule="auto"/>
        <w:jc w:val="both"/>
        <w:rPr>
          <w:rFonts w:ascii="Times New Roman" w:hAnsi="Times New Roman" w:cs="Times New Roman"/>
          <w:sz w:val="24"/>
          <w:szCs w:val="24"/>
        </w:rPr>
      </w:pPr>
      <w:proofErr w:type="spellStart"/>
      <w:r w:rsidRPr="00B765F3">
        <w:rPr>
          <w:rFonts w:ascii="Times New Roman" w:hAnsi="Times New Roman" w:cs="Times New Roman"/>
          <w:sz w:val="24"/>
          <w:szCs w:val="24"/>
        </w:rPr>
        <w:t>Pharmac</w:t>
      </w:r>
      <w:proofErr w:type="spellEnd"/>
      <w:r w:rsidRPr="00B765F3">
        <w:rPr>
          <w:rFonts w:ascii="Times New Roman" w:hAnsi="Times New Roman" w:cs="Times New Roman"/>
          <w:sz w:val="24"/>
          <w:szCs w:val="24"/>
        </w:rPr>
        <w:t xml:space="preserve">, 2015. </w:t>
      </w:r>
      <w:r w:rsidRPr="00B765F3">
        <w:rPr>
          <w:rFonts w:ascii="Times New Roman" w:hAnsi="Times New Roman" w:cs="Times New Roman"/>
          <w:i/>
          <w:sz w:val="24"/>
          <w:szCs w:val="24"/>
        </w:rPr>
        <w:t>Prescription for Pharmacoeconomic Analysis: Methods for Cost Utility Analysis</w:t>
      </w:r>
      <w:r w:rsidRPr="00B765F3">
        <w:rPr>
          <w:rFonts w:ascii="Times New Roman" w:hAnsi="Times New Roman" w:cs="Times New Roman"/>
          <w:sz w:val="24"/>
          <w:szCs w:val="24"/>
        </w:rPr>
        <w:t xml:space="preserve">, </w:t>
      </w:r>
      <w:hyperlink r:id="rId49" w:history="1">
        <w:r w:rsidRPr="00B765F3">
          <w:rPr>
            <w:rStyle w:val="Hyperlink"/>
            <w:rFonts w:ascii="Times New Roman" w:hAnsi="Times New Roman" w:cs="Times New Roman"/>
            <w:sz w:val="24"/>
            <w:szCs w:val="24"/>
          </w:rPr>
          <w:t>https://www.pharmac.govt.nz/assets/pfpa-2-2.pdf</w:t>
        </w:r>
      </w:hyperlink>
      <w:r w:rsidRPr="00B765F3">
        <w:rPr>
          <w:rFonts w:ascii="Times New Roman" w:hAnsi="Times New Roman" w:cs="Times New Roman"/>
          <w:sz w:val="24"/>
          <w:szCs w:val="24"/>
        </w:rPr>
        <w:t>.</w:t>
      </w:r>
    </w:p>
    <w:p w14:paraId="27AD6B9B" w14:textId="77777777" w:rsidR="00404651" w:rsidRDefault="00404651" w:rsidP="008669DD">
      <w:pPr>
        <w:spacing w:after="0" w:line="240" w:lineRule="auto"/>
        <w:jc w:val="both"/>
        <w:rPr>
          <w:rFonts w:ascii="Times New Roman" w:hAnsi="Times New Roman" w:cs="Times New Roman"/>
          <w:sz w:val="24"/>
          <w:szCs w:val="24"/>
        </w:rPr>
      </w:pPr>
    </w:p>
    <w:p w14:paraId="4305EAD5" w14:textId="77777777" w:rsidR="005C319C" w:rsidRPr="005C319C" w:rsidRDefault="005C319C"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Pujol, T., 2020.  “The Long-Term Economic Costs of Covid-19 in the Consensus Forecasts”, </w:t>
      </w:r>
      <w:r>
        <w:rPr>
          <w:rFonts w:ascii="Times New Roman" w:hAnsi="Times New Roman" w:cs="Times New Roman"/>
          <w:i/>
          <w:sz w:val="24"/>
          <w:szCs w:val="24"/>
        </w:rPr>
        <w:t>Covid Economics</w:t>
      </w:r>
      <w:r>
        <w:rPr>
          <w:rFonts w:ascii="Times New Roman" w:hAnsi="Times New Roman" w:cs="Times New Roman"/>
          <w:sz w:val="24"/>
          <w:szCs w:val="24"/>
        </w:rPr>
        <w:t xml:space="preserve">, vol. 44, pp. 225-240, </w:t>
      </w:r>
      <w:hyperlink r:id="rId50" w:anchor="block-block-10" w:history="1">
        <w:r w:rsidR="0051189F" w:rsidRPr="0095689F">
          <w:rPr>
            <w:rStyle w:val="Hyperlink"/>
            <w:rFonts w:ascii="Times New Roman" w:hAnsi="Times New Roman" w:cs="Times New Roman"/>
            <w:sz w:val="24"/>
            <w:szCs w:val="24"/>
          </w:rPr>
          <w:t>https://cepr.org/content/covid-economics-vetted-and-real-time-papers-0#block-block-10</w:t>
        </w:r>
      </w:hyperlink>
      <w:r w:rsidR="0051189F">
        <w:rPr>
          <w:rFonts w:ascii="Times New Roman" w:hAnsi="Times New Roman" w:cs="Times New Roman"/>
          <w:sz w:val="24"/>
          <w:szCs w:val="24"/>
        </w:rPr>
        <w:t>.</w:t>
      </w:r>
    </w:p>
    <w:p w14:paraId="550EB8D5" w14:textId="77777777" w:rsidR="005C319C" w:rsidRDefault="005C319C" w:rsidP="008669DD">
      <w:pPr>
        <w:spacing w:after="0" w:line="240" w:lineRule="auto"/>
        <w:jc w:val="both"/>
        <w:rPr>
          <w:rFonts w:ascii="Times New Roman" w:hAnsi="Times New Roman" w:cs="Times New Roman"/>
          <w:sz w:val="24"/>
          <w:szCs w:val="24"/>
        </w:rPr>
      </w:pPr>
    </w:p>
    <w:p w14:paraId="30D599D9" w14:textId="77777777" w:rsidR="00A87B80" w:rsidRDefault="00EE0863"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RBA</w:t>
      </w:r>
      <w:r w:rsidR="00A87B80">
        <w:rPr>
          <w:rFonts w:ascii="Times New Roman" w:hAnsi="Times New Roman" w:cs="Times New Roman"/>
          <w:sz w:val="24"/>
          <w:szCs w:val="24"/>
        </w:rPr>
        <w:t xml:space="preserve">, 2019.  </w:t>
      </w:r>
      <w:r w:rsidR="00A87B80">
        <w:rPr>
          <w:rFonts w:ascii="Times New Roman" w:hAnsi="Times New Roman" w:cs="Times New Roman"/>
          <w:i/>
          <w:sz w:val="24"/>
          <w:szCs w:val="24"/>
        </w:rPr>
        <w:t>Statement on Monetary Policy – November 2019</w:t>
      </w:r>
      <w:r w:rsidR="00A87B80">
        <w:rPr>
          <w:rFonts w:ascii="Times New Roman" w:hAnsi="Times New Roman" w:cs="Times New Roman"/>
          <w:sz w:val="24"/>
          <w:szCs w:val="24"/>
        </w:rPr>
        <w:t xml:space="preserve">, </w:t>
      </w:r>
      <w:hyperlink r:id="rId51" w:history="1">
        <w:r w:rsidR="0058275E" w:rsidRPr="00A80045">
          <w:rPr>
            <w:rStyle w:val="Hyperlink"/>
            <w:rFonts w:ascii="Times New Roman" w:hAnsi="Times New Roman" w:cs="Times New Roman"/>
            <w:sz w:val="24"/>
            <w:szCs w:val="24"/>
          </w:rPr>
          <w:t>https://www.rba.gov.au/publications/smp/2019/nov/pdf/05-economic-outlook.pdf</w:t>
        </w:r>
      </w:hyperlink>
      <w:r w:rsidR="0058275E">
        <w:rPr>
          <w:rFonts w:ascii="Times New Roman" w:hAnsi="Times New Roman" w:cs="Times New Roman"/>
          <w:sz w:val="24"/>
          <w:szCs w:val="24"/>
        </w:rPr>
        <w:t>.</w:t>
      </w:r>
    </w:p>
    <w:p w14:paraId="0D7BE4D7" w14:textId="77777777" w:rsidR="00B72481" w:rsidRDefault="00B72481" w:rsidP="008669DD">
      <w:pPr>
        <w:spacing w:after="0" w:line="240" w:lineRule="auto"/>
        <w:jc w:val="both"/>
        <w:rPr>
          <w:rFonts w:ascii="Times New Roman" w:hAnsi="Times New Roman" w:cs="Times New Roman"/>
          <w:sz w:val="24"/>
          <w:szCs w:val="24"/>
        </w:rPr>
      </w:pPr>
    </w:p>
    <w:p w14:paraId="6506B8C3" w14:textId="77777777" w:rsidR="00B72481" w:rsidRDefault="00B72481"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2020a.  </w:t>
      </w:r>
      <w:r>
        <w:rPr>
          <w:rFonts w:ascii="Times New Roman" w:hAnsi="Times New Roman" w:cs="Times New Roman"/>
          <w:i/>
          <w:sz w:val="24"/>
          <w:szCs w:val="24"/>
        </w:rPr>
        <w:t>Statement on Monetary Policy – February 2020</w:t>
      </w:r>
      <w:r>
        <w:rPr>
          <w:rFonts w:ascii="Times New Roman" w:hAnsi="Times New Roman" w:cs="Times New Roman"/>
          <w:sz w:val="24"/>
          <w:szCs w:val="24"/>
        </w:rPr>
        <w:t>,</w:t>
      </w:r>
      <w:r w:rsidR="005F5881">
        <w:rPr>
          <w:rFonts w:ascii="Times New Roman" w:hAnsi="Times New Roman" w:cs="Times New Roman"/>
          <w:sz w:val="24"/>
          <w:szCs w:val="24"/>
        </w:rPr>
        <w:t xml:space="preserve"> </w:t>
      </w:r>
      <w:hyperlink r:id="rId52" w:history="1">
        <w:r w:rsidR="005F5881" w:rsidRPr="002B2BDC">
          <w:rPr>
            <w:rStyle w:val="Hyperlink"/>
            <w:rFonts w:ascii="Times New Roman" w:hAnsi="Times New Roman" w:cs="Times New Roman"/>
            <w:sz w:val="24"/>
            <w:szCs w:val="24"/>
          </w:rPr>
          <w:t>https://www.rba.gov.au/publications/smp/2020/feb/</w:t>
        </w:r>
      </w:hyperlink>
      <w:r w:rsidR="005F5881">
        <w:rPr>
          <w:rFonts w:ascii="Times New Roman" w:hAnsi="Times New Roman" w:cs="Times New Roman"/>
          <w:sz w:val="24"/>
          <w:szCs w:val="24"/>
        </w:rPr>
        <w:t>.</w:t>
      </w:r>
    </w:p>
    <w:p w14:paraId="4DEAF492" w14:textId="77777777" w:rsidR="00B72481" w:rsidRDefault="00B72481" w:rsidP="008669DD">
      <w:pPr>
        <w:spacing w:after="0" w:line="240" w:lineRule="auto"/>
        <w:jc w:val="both"/>
        <w:rPr>
          <w:rFonts w:ascii="Times New Roman" w:hAnsi="Times New Roman" w:cs="Times New Roman"/>
          <w:sz w:val="24"/>
          <w:szCs w:val="24"/>
        </w:rPr>
      </w:pPr>
    </w:p>
    <w:p w14:paraId="49B555D0" w14:textId="77777777" w:rsidR="00B72481" w:rsidRPr="00A87B80" w:rsidRDefault="00B72481"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2020b.  </w:t>
      </w:r>
      <w:r>
        <w:rPr>
          <w:rFonts w:ascii="Times New Roman" w:hAnsi="Times New Roman" w:cs="Times New Roman"/>
          <w:i/>
          <w:sz w:val="24"/>
          <w:szCs w:val="24"/>
        </w:rPr>
        <w:t>Statement on Monetary Policy – May 2020</w:t>
      </w:r>
      <w:r w:rsidR="005F5881">
        <w:rPr>
          <w:rFonts w:ascii="Times New Roman" w:hAnsi="Times New Roman" w:cs="Times New Roman"/>
          <w:sz w:val="24"/>
          <w:szCs w:val="24"/>
        </w:rPr>
        <w:t xml:space="preserve">, </w:t>
      </w:r>
      <w:hyperlink r:id="rId53" w:history="1">
        <w:r w:rsidR="005F5881" w:rsidRPr="002B2BDC">
          <w:rPr>
            <w:rStyle w:val="Hyperlink"/>
            <w:rFonts w:ascii="Times New Roman" w:hAnsi="Times New Roman" w:cs="Times New Roman"/>
            <w:sz w:val="24"/>
            <w:szCs w:val="24"/>
          </w:rPr>
          <w:t>https://www.rba.gov.au/publications/smp/2020/may/</w:t>
        </w:r>
      </w:hyperlink>
      <w:r w:rsidR="005F5881">
        <w:rPr>
          <w:rFonts w:ascii="Times New Roman" w:hAnsi="Times New Roman" w:cs="Times New Roman"/>
          <w:sz w:val="24"/>
          <w:szCs w:val="24"/>
        </w:rPr>
        <w:t>.</w:t>
      </w:r>
    </w:p>
    <w:p w14:paraId="4CA9DF0F" w14:textId="77777777" w:rsidR="00A87B80" w:rsidRDefault="00A87B80" w:rsidP="008669DD">
      <w:pPr>
        <w:spacing w:after="0" w:line="240" w:lineRule="auto"/>
        <w:jc w:val="both"/>
        <w:rPr>
          <w:rFonts w:ascii="Times New Roman" w:hAnsi="Times New Roman" w:cs="Times New Roman"/>
          <w:sz w:val="24"/>
          <w:szCs w:val="24"/>
        </w:rPr>
      </w:pPr>
    </w:p>
    <w:p w14:paraId="2BDF1BC4" w14:textId="77777777" w:rsidR="00EE0863" w:rsidRPr="00EE0863" w:rsidRDefault="00A87B80"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EE0863">
        <w:rPr>
          <w:rFonts w:ascii="Times New Roman" w:hAnsi="Times New Roman" w:cs="Times New Roman"/>
          <w:sz w:val="24"/>
          <w:szCs w:val="24"/>
        </w:rPr>
        <w:t>2020</w:t>
      </w:r>
      <w:r w:rsidR="00B72481">
        <w:rPr>
          <w:rFonts w:ascii="Times New Roman" w:hAnsi="Times New Roman" w:cs="Times New Roman"/>
          <w:sz w:val="24"/>
          <w:szCs w:val="24"/>
        </w:rPr>
        <w:t>c</w:t>
      </w:r>
      <w:r w:rsidR="00EE0863">
        <w:rPr>
          <w:rFonts w:ascii="Times New Roman" w:hAnsi="Times New Roman" w:cs="Times New Roman"/>
          <w:sz w:val="24"/>
          <w:szCs w:val="24"/>
        </w:rPr>
        <w:t xml:space="preserve">.  </w:t>
      </w:r>
      <w:r w:rsidR="00EE0863">
        <w:rPr>
          <w:rFonts w:ascii="Times New Roman" w:hAnsi="Times New Roman" w:cs="Times New Roman"/>
          <w:i/>
          <w:sz w:val="24"/>
          <w:szCs w:val="24"/>
        </w:rPr>
        <w:t>Statement on Monetary Policy – August 2020</w:t>
      </w:r>
      <w:r w:rsidR="00EE0863">
        <w:rPr>
          <w:rFonts w:ascii="Times New Roman" w:hAnsi="Times New Roman" w:cs="Times New Roman"/>
          <w:sz w:val="24"/>
          <w:szCs w:val="24"/>
        </w:rPr>
        <w:t xml:space="preserve">, </w:t>
      </w:r>
      <w:hyperlink r:id="rId54" w:history="1">
        <w:r w:rsidR="00C16123" w:rsidRPr="00A80045">
          <w:rPr>
            <w:rStyle w:val="Hyperlink"/>
            <w:rFonts w:ascii="Times New Roman" w:hAnsi="Times New Roman" w:cs="Times New Roman"/>
            <w:sz w:val="24"/>
            <w:szCs w:val="24"/>
          </w:rPr>
          <w:t>https://www.rba.gov.au/publications/smp/2020/aug/economic-outlook.html</w:t>
        </w:r>
      </w:hyperlink>
      <w:r w:rsidR="00C16123">
        <w:rPr>
          <w:rFonts w:ascii="Times New Roman" w:hAnsi="Times New Roman" w:cs="Times New Roman"/>
          <w:sz w:val="24"/>
          <w:szCs w:val="24"/>
        </w:rPr>
        <w:t>.</w:t>
      </w:r>
    </w:p>
    <w:p w14:paraId="2938F576" w14:textId="77777777" w:rsidR="00244ED9" w:rsidRDefault="00244ED9" w:rsidP="00244ED9">
      <w:pPr>
        <w:spacing w:after="0" w:line="240" w:lineRule="auto"/>
        <w:jc w:val="both"/>
        <w:rPr>
          <w:rFonts w:ascii="Times New Roman" w:hAnsi="Times New Roman" w:cs="Times New Roman"/>
          <w:sz w:val="24"/>
          <w:szCs w:val="24"/>
        </w:rPr>
      </w:pPr>
    </w:p>
    <w:p w14:paraId="092D7FBF" w14:textId="77777777" w:rsidR="00244ED9" w:rsidRPr="00526424" w:rsidRDefault="00244ED9" w:rsidP="00244ED9">
      <w:pPr>
        <w:spacing w:after="0" w:line="240" w:lineRule="auto"/>
        <w:jc w:val="both"/>
        <w:rPr>
          <w:rFonts w:ascii="Times New Roman" w:hAnsi="Times New Roman" w:cs="Times New Roman"/>
          <w:sz w:val="24"/>
          <w:szCs w:val="24"/>
        </w:rPr>
      </w:pPr>
      <w:r w:rsidRPr="00526424">
        <w:rPr>
          <w:rFonts w:ascii="Times New Roman" w:hAnsi="Times New Roman" w:cs="Times New Roman"/>
          <w:sz w:val="24"/>
          <w:szCs w:val="24"/>
        </w:rPr>
        <w:t xml:space="preserve">Sebhatu, A., Wennberg, K., Arora-Jonsson, S., and Lindberg, S., 2020.  “Explaining the Homogeneous Diffusion of COVID-19 Nonpharmaceutical Interventions across Heterogeneous Countries”, </w:t>
      </w:r>
      <w:r>
        <w:rPr>
          <w:rFonts w:ascii="Times New Roman" w:hAnsi="Times New Roman" w:cs="Times New Roman"/>
          <w:i/>
          <w:sz w:val="24"/>
          <w:szCs w:val="24"/>
        </w:rPr>
        <w:t>Proceedings of the National Academy of Sciences</w:t>
      </w:r>
      <w:r>
        <w:rPr>
          <w:rFonts w:ascii="Times New Roman" w:hAnsi="Times New Roman" w:cs="Times New Roman"/>
          <w:sz w:val="24"/>
          <w:szCs w:val="24"/>
        </w:rPr>
        <w:t>,</w:t>
      </w:r>
      <w:r w:rsidRPr="00526424">
        <w:rPr>
          <w:rFonts w:ascii="Times New Roman" w:hAnsi="Times New Roman" w:cs="Times New Roman"/>
          <w:i/>
          <w:sz w:val="24"/>
          <w:szCs w:val="24"/>
        </w:rPr>
        <w:t xml:space="preserve"> </w:t>
      </w:r>
      <w:hyperlink r:id="rId55" w:history="1">
        <w:r w:rsidRPr="00526424">
          <w:rPr>
            <w:rStyle w:val="Hyperlink"/>
            <w:rFonts w:ascii="Times New Roman" w:hAnsi="Times New Roman" w:cs="Times New Roman"/>
            <w:sz w:val="24"/>
            <w:szCs w:val="24"/>
          </w:rPr>
          <w:t>https://www.pnas.org/content/117/35/21201</w:t>
        </w:r>
      </w:hyperlink>
      <w:r w:rsidRPr="00526424">
        <w:rPr>
          <w:rFonts w:ascii="Times New Roman" w:hAnsi="Times New Roman" w:cs="Times New Roman"/>
          <w:sz w:val="24"/>
          <w:szCs w:val="24"/>
        </w:rPr>
        <w:t>.</w:t>
      </w:r>
    </w:p>
    <w:p w14:paraId="318A67A1" w14:textId="77777777" w:rsidR="00EE0863" w:rsidRDefault="00EE0863" w:rsidP="008669DD">
      <w:pPr>
        <w:spacing w:after="0" w:line="240" w:lineRule="auto"/>
        <w:jc w:val="both"/>
        <w:rPr>
          <w:rFonts w:ascii="Times New Roman" w:hAnsi="Times New Roman" w:cs="Times New Roman"/>
          <w:sz w:val="24"/>
          <w:szCs w:val="24"/>
        </w:rPr>
      </w:pPr>
    </w:p>
    <w:p w14:paraId="25B64988" w14:textId="77777777" w:rsidR="008669DD" w:rsidRDefault="008669DD" w:rsidP="00866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Stern, C., and Klein, D., 2020.  “Stockholm City’s Elderly Care and Covid-19”, forthcoming in </w:t>
      </w:r>
      <w:r w:rsidRPr="00C342A5">
        <w:rPr>
          <w:rFonts w:ascii="Times New Roman" w:hAnsi="Times New Roman" w:cs="Times New Roman"/>
          <w:i/>
          <w:sz w:val="24"/>
          <w:szCs w:val="24"/>
        </w:rPr>
        <w:t>Society</w:t>
      </w:r>
      <w:r>
        <w:rPr>
          <w:rFonts w:ascii="Times New Roman" w:hAnsi="Times New Roman" w:cs="Times New Roman"/>
          <w:sz w:val="24"/>
          <w:szCs w:val="24"/>
        </w:rPr>
        <w:t xml:space="preserve">, </w:t>
      </w:r>
      <w:hyperlink r:id="rId56" w:history="1">
        <w:r w:rsidRPr="00355CD2">
          <w:rPr>
            <w:rStyle w:val="Hyperlink"/>
            <w:rFonts w:ascii="Times New Roman" w:hAnsi="Times New Roman" w:cs="Times New Roman"/>
            <w:sz w:val="24"/>
            <w:szCs w:val="24"/>
          </w:rPr>
          <w:t>https://papers.ssrn.com/sol3/papers.cfm?abstract_id=3609493</w:t>
        </w:r>
      </w:hyperlink>
      <w:r>
        <w:rPr>
          <w:rFonts w:ascii="Times New Roman" w:hAnsi="Times New Roman" w:cs="Times New Roman"/>
          <w:sz w:val="24"/>
          <w:szCs w:val="24"/>
        </w:rPr>
        <w:t>.</w:t>
      </w:r>
    </w:p>
    <w:p w14:paraId="5D2FA92A" w14:textId="77777777" w:rsidR="00244ED9" w:rsidRDefault="00244ED9" w:rsidP="00244ED9">
      <w:pPr>
        <w:spacing w:after="0" w:line="240" w:lineRule="auto"/>
        <w:jc w:val="both"/>
        <w:rPr>
          <w:rFonts w:ascii="Times New Roman" w:hAnsi="Times New Roman" w:cs="Times New Roman"/>
          <w:sz w:val="24"/>
          <w:szCs w:val="24"/>
        </w:rPr>
      </w:pPr>
    </w:p>
    <w:p w14:paraId="0879AA65" w14:textId="77777777" w:rsidR="00244ED9" w:rsidRDefault="00244ED9" w:rsidP="00244ED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Sudre</w:t>
      </w:r>
      <w:proofErr w:type="spellEnd"/>
      <w:r>
        <w:rPr>
          <w:rFonts w:ascii="Times New Roman" w:hAnsi="Times New Roman" w:cs="Times New Roman"/>
          <w:sz w:val="24"/>
          <w:szCs w:val="24"/>
        </w:rPr>
        <w:t xml:space="preserve">, C., Murray, B., and Steves, C., 2020.  “Attributes and Predictors of Long-Covid”, </w:t>
      </w:r>
      <w:hyperlink r:id="rId57" w:history="1">
        <w:r w:rsidRPr="00B4353A">
          <w:rPr>
            <w:rStyle w:val="Hyperlink"/>
            <w:rFonts w:ascii="Times New Roman" w:hAnsi="Times New Roman" w:cs="Times New Roman"/>
            <w:sz w:val="24"/>
            <w:szCs w:val="24"/>
          </w:rPr>
          <w:t>https://www.medrxiv.org/content/10.1101/2020.10.19.20214494v1</w:t>
        </w:r>
      </w:hyperlink>
      <w:r>
        <w:rPr>
          <w:rFonts w:ascii="Times New Roman" w:hAnsi="Times New Roman" w:cs="Times New Roman"/>
          <w:sz w:val="24"/>
          <w:szCs w:val="24"/>
        </w:rPr>
        <w:t>.</w:t>
      </w:r>
    </w:p>
    <w:p w14:paraId="3E8A9B04" w14:textId="77777777" w:rsidR="00B21270" w:rsidRDefault="00B21270" w:rsidP="00B21270">
      <w:pPr>
        <w:spacing w:after="0" w:line="240" w:lineRule="auto"/>
        <w:jc w:val="both"/>
        <w:rPr>
          <w:rFonts w:ascii="Times New Roman" w:hAnsi="Times New Roman" w:cs="Times New Roman"/>
          <w:sz w:val="24"/>
          <w:szCs w:val="24"/>
        </w:rPr>
      </w:pPr>
    </w:p>
    <w:p w14:paraId="6669B660" w14:textId="77777777" w:rsidR="00B21270" w:rsidRPr="005D49D9" w:rsidRDefault="00B21270" w:rsidP="00B2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Szende, A., Janssen, B., and </w:t>
      </w:r>
      <w:proofErr w:type="spellStart"/>
      <w:r>
        <w:rPr>
          <w:rFonts w:ascii="Times New Roman" w:hAnsi="Times New Roman" w:cs="Times New Roman"/>
          <w:sz w:val="24"/>
          <w:szCs w:val="24"/>
        </w:rPr>
        <w:t>Cabases</w:t>
      </w:r>
      <w:proofErr w:type="spellEnd"/>
      <w:r>
        <w:rPr>
          <w:rFonts w:ascii="Times New Roman" w:hAnsi="Times New Roman" w:cs="Times New Roman"/>
          <w:sz w:val="24"/>
          <w:szCs w:val="24"/>
        </w:rPr>
        <w:t xml:space="preserve">, J., 2014.  </w:t>
      </w:r>
      <w:r>
        <w:rPr>
          <w:rFonts w:ascii="Times New Roman" w:hAnsi="Times New Roman" w:cs="Times New Roman"/>
          <w:i/>
          <w:sz w:val="24"/>
          <w:szCs w:val="24"/>
        </w:rPr>
        <w:t>Self-Reported Population Health: An International Perspective Based on EQ-5D</w:t>
      </w:r>
      <w:r>
        <w:rPr>
          <w:rFonts w:ascii="Times New Roman" w:hAnsi="Times New Roman" w:cs="Times New Roman"/>
          <w:sz w:val="24"/>
          <w:szCs w:val="24"/>
        </w:rPr>
        <w:t>, Springer.</w:t>
      </w:r>
    </w:p>
    <w:p w14:paraId="00867D7C" w14:textId="77777777" w:rsidR="00DF2CA8" w:rsidRDefault="00DF2CA8" w:rsidP="00DF2CA8">
      <w:pPr>
        <w:spacing w:after="0" w:line="240" w:lineRule="auto"/>
        <w:jc w:val="both"/>
        <w:rPr>
          <w:rFonts w:ascii="Times New Roman" w:hAnsi="Times New Roman" w:cs="Times New Roman"/>
          <w:sz w:val="24"/>
          <w:szCs w:val="24"/>
        </w:rPr>
      </w:pPr>
    </w:p>
    <w:p w14:paraId="4288B425" w14:textId="77777777" w:rsidR="00DF2CA8" w:rsidRDefault="00DF2CA8" w:rsidP="00DF2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Thunstrom, L., Newbold, S., </w:t>
      </w:r>
      <w:proofErr w:type="spellStart"/>
      <w:r>
        <w:rPr>
          <w:rFonts w:ascii="Times New Roman" w:hAnsi="Times New Roman" w:cs="Times New Roman"/>
          <w:sz w:val="24"/>
          <w:szCs w:val="24"/>
        </w:rPr>
        <w:t>Finnoff</w:t>
      </w:r>
      <w:proofErr w:type="spellEnd"/>
      <w:r>
        <w:rPr>
          <w:rFonts w:ascii="Times New Roman" w:hAnsi="Times New Roman" w:cs="Times New Roman"/>
          <w:sz w:val="24"/>
          <w:szCs w:val="24"/>
        </w:rPr>
        <w:t xml:space="preserve">, D., Ashworth, M., and Shogren, J., 2020.  “The Benefits and Costs of Using Social Distancing to Flatten the Curve for Covid-19”, </w:t>
      </w:r>
      <w:r>
        <w:rPr>
          <w:rFonts w:ascii="Times New Roman" w:hAnsi="Times New Roman" w:cs="Times New Roman"/>
          <w:i/>
          <w:sz w:val="24"/>
          <w:szCs w:val="24"/>
        </w:rPr>
        <w:t>Journal of Benefit-Cost Analysis</w:t>
      </w:r>
      <w:r>
        <w:rPr>
          <w:rFonts w:ascii="Times New Roman" w:hAnsi="Times New Roman" w:cs="Times New Roman"/>
          <w:sz w:val="24"/>
          <w:szCs w:val="24"/>
        </w:rPr>
        <w:t>, vol. 11 (2), pp. 179-195.</w:t>
      </w:r>
    </w:p>
    <w:p w14:paraId="1173CED4" w14:textId="77777777" w:rsidR="006573BA" w:rsidRDefault="006573BA" w:rsidP="005C79D9">
      <w:pPr>
        <w:spacing w:after="0" w:line="240" w:lineRule="auto"/>
        <w:jc w:val="both"/>
        <w:rPr>
          <w:rFonts w:ascii="Times New Roman" w:hAnsi="Times New Roman" w:cs="Times New Roman"/>
          <w:sz w:val="24"/>
          <w:szCs w:val="24"/>
          <w:lang w:val="en-US"/>
        </w:rPr>
      </w:pPr>
    </w:p>
    <w:sectPr w:rsidR="006573BA">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1B11" w14:textId="77777777" w:rsidR="001E4C06" w:rsidRDefault="001E4C06" w:rsidP="003861A3">
      <w:pPr>
        <w:spacing w:after="0" w:line="240" w:lineRule="auto"/>
      </w:pPr>
      <w:r>
        <w:separator/>
      </w:r>
    </w:p>
  </w:endnote>
  <w:endnote w:type="continuationSeparator" w:id="0">
    <w:p w14:paraId="74C80C74" w14:textId="77777777" w:rsidR="001E4C06" w:rsidRDefault="001E4C06" w:rsidP="0038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B55" w14:textId="77777777" w:rsidR="0008520E" w:rsidRDefault="0008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583471"/>
      <w:docPartObj>
        <w:docPartGallery w:val="Page Numbers (Bottom of Page)"/>
        <w:docPartUnique/>
      </w:docPartObj>
    </w:sdtPr>
    <w:sdtEndPr>
      <w:rPr>
        <w:noProof/>
      </w:rPr>
    </w:sdtEndPr>
    <w:sdtContent>
      <w:p w14:paraId="25E5A8EF" w14:textId="77777777" w:rsidR="0008520E" w:rsidRDefault="0008520E">
        <w:pPr>
          <w:pStyle w:val="Footer"/>
          <w:jc w:val="center"/>
        </w:pPr>
        <w:r>
          <w:fldChar w:fldCharType="begin"/>
        </w:r>
        <w:r>
          <w:instrText xml:space="preserve"> PAGE   \* MERGEFORMAT </w:instrText>
        </w:r>
        <w:r>
          <w:fldChar w:fldCharType="separate"/>
        </w:r>
        <w:r w:rsidR="00EF6F10">
          <w:rPr>
            <w:noProof/>
          </w:rPr>
          <w:t>36</w:t>
        </w:r>
        <w:r>
          <w:rPr>
            <w:noProof/>
          </w:rPr>
          <w:fldChar w:fldCharType="end"/>
        </w:r>
      </w:p>
    </w:sdtContent>
  </w:sdt>
  <w:p w14:paraId="768E96DD" w14:textId="77777777" w:rsidR="0008520E" w:rsidRDefault="0008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DD7B" w14:textId="77777777" w:rsidR="0008520E" w:rsidRDefault="0008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62B9" w14:textId="77777777" w:rsidR="001E4C06" w:rsidRDefault="001E4C06" w:rsidP="003861A3">
      <w:pPr>
        <w:spacing w:after="0" w:line="240" w:lineRule="auto"/>
      </w:pPr>
      <w:r>
        <w:separator/>
      </w:r>
    </w:p>
  </w:footnote>
  <w:footnote w:type="continuationSeparator" w:id="0">
    <w:p w14:paraId="452CE248" w14:textId="77777777" w:rsidR="001E4C06" w:rsidRDefault="001E4C06" w:rsidP="003861A3">
      <w:pPr>
        <w:spacing w:after="0" w:line="240" w:lineRule="auto"/>
      </w:pPr>
      <w:r>
        <w:continuationSeparator/>
      </w:r>
    </w:p>
  </w:footnote>
  <w:footnote w:id="1">
    <w:p w14:paraId="2C75F3CA" w14:textId="77777777" w:rsidR="0008520E" w:rsidRPr="00D975DB" w:rsidRDefault="0008520E" w:rsidP="00D975DB">
      <w:pPr>
        <w:pStyle w:val="FootnoteText"/>
        <w:jc w:val="both"/>
        <w:rPr>
          <w:rFonts w:ascii="Times New Roman" w:hAnsi="Times New Roman" w:cs="Times New Roman"/>
          <w:lang w:val="en-US"/>
        </w:rPr>
      </w:pPr>
      <w:r w:rsidRPr="00D975DB">
        <w:rPr>
          <w:rStyle w:val="FootnoteReference"/>
          <w:rFonts w:ascii="Times New Roman" w:hAnsi="Times New Roman" w:cs="Times New Roman"/>
        </w:rPr>
        <w:footnoteRef/>
      </w:r>
      <w:r w:rsidRPr="00D975DB">
        <w:rPr>
          <w:rFonts w:ascii="Times New Roman" w:hAnsi="Times New Roman" w:cs="Times New Roman"/>
        </w:rPr>
        <w:t xml:space="preserve"> </w:t>
      </w:r>
      <w:r w:rsidRPr="00D975DB">
        <w:rPr>
          <w:rFonts w:ascii="Times New Roman" w:hAnsi="Times New Roman" w:cs="Times New Roman"/>
          <w:lang w:val="en-US"/>
        </w:rPr>
        <w:t xml:space="preserve">See </w:t>
      </w:r>
      <w:hyperlink r:id="rId1" w:history="1">
        <w:r w:rsidRPr="00D975DB">
          <w:rPr>
            <w:rStyle w:val="Hyperlink"/>
            <w:rFonts w:ascii="Times New Roman" w:hAnsi="Times New Roman" w:cs="Times New Roman"/>
            <w:lang w:val="en-US"/>
          </w:rPr>
          <w:t>https://www.smh.com.au/politics/federal/australia-prepares-for-50-000-to-150-000-coronavirus-deaths-20200316-p54amn.html</w:t>
        </w:r>
      </w:hyperlink>
      <w:r w:rsidRPr="00D975DB">
        <w:rPr>
          <w:rFonts w:ascii="Times New Roman" w:hAnsi="Times New Roman" w:cs="Times New Roman"/>
          <w:lang w:val="en-US"/>
        </w:rPr>
        <w:t>.</w:t>
      </w:r>
    </w:p>
  </w:footnote>
  <w:footnote w:id="2">
    <w:p w14:paraId="44164A80" w14:textId="77777777" w:rsidR="0008520E" w:rsidRPr="004913C2" w:rsidRDefault="0008520E" w:rsidP="00DA324A">
      <w:pPr>
        <w:pStyle w:val="FootnoteText"/>
        <w:jc w:val="both"/>
        <w:rPr>
          <w:rFonts w:ascii="Times New Roman" w:hAnsi="Times New Roman" w:cs="Times New Roman"/>
          <w:lang w:val="en-US"/>
        </w:rPr>
      </w:pPr>
      <w:r w:rsidRPr="004913C2">
        <w:rPr>
          <w:rStyle w:val="FootnoteReference"/>
          <w:rFonts w:ascii="Times New Roman" w:hAnsi="Times New Roman" w:cs="Times New Roman"/>
        </w:rPr>
        <w:footnoteRef/>
      </w:r>
      <w:r w:rsidRPr="004913C2">
        <w:rPr>
          <w:rFonts w:ascii="Times New Roman" w:hAnsi="Times New Roman" w:cs="Times New Roman"/>
        </w:rPr>
        <w:t xml:space="preserve"> </w:t>
      </w:r>
      <w:r w:rsidRPr="004913C2">
        <w:rPr>
          <w:rFonts w:ascii="Times New Roman" w:hAnsi="Times New Roman" w:cs="Times New Roman"/>
          <w:lang w:val="en-US"/>
        </w:rPr>
        <w:t xml:space="preserve">Within Europe, the mitigating countries have been Iceland, Finland, Latvia and Sweden, with death rates per 1m up to 30 December of </w:t>
      </w:r>
      <w:r>
        <w:rPr>
          <w:rFonts w:ascii="Times New Roman" w:hAnsi="Times New Roman" w:cs="Times New Roman"/>
          <w:lang w:val="en-US"/>
        </w:rPr>
        <w:t>82, 99, 321, and 859 respectively.</w:t>
      </w:r>
    </w:p>
    <w:p w14:paraId="2634DA3B" w14:textId="77777777" w:rsidR="0008520E" w:rsidRPr="0017786C" w:rsidRDefault="0008520E">
      <w:pPr>
        <w:pStyle w:val="FootnoteText"/>
        <w:rPr>
          <w:lang w:val="en-US"/>
        </w:rPr>
      </w:pPr>
    </w:p>
  </w:footnote>
  <w:footnote w:id="3">
    <w:p w14:paraId="54A4D915" w14:textId="77777777" w:rsidR="0008520E" w:rsidRDefault="0008520E" w:rsidP="00CD3970">
      <w:pPr>
        <w:pStyle w:val="FootnoteText"/>
        <w:jc w:val="both"/>
        <w:rPr>
          <w:rFonts w:ascii="Times New Roman" w:hAnsi="Times New Roman" w:cs="Times New Roman"/>
        </w:rPr>
      </w:pPr>
      <w:r w:rsidRPr="00CD3970">
        <w:rPr>
          <w:rStyle w:val="FootnoteReference"/>
          <w:rFonts w:ascii="Times New Roman" w:hAnsi="Times New Roman" w:cs="Times New Roman"/>
        </w:rPr>
        <w:footnoteRef/>
      </w:r>
      <w:r w:rsidRPr="00CD3970">
        <w:rPr>
          <w:rFonts w:ascii="Times New Roman" w:hAnsi="Times New Roman" w:cs="Times New Roman"/>
        </w:rPr>
        <w:t xml:space="preserve"> </w:t>
      </w:r>
      <w:r>
        <w:rPr>
          <w:rFonts w:ascii="Times New Roman" w:hAnsi="Times New Roman" w:cs="Times New Roman"/>
        </w:rPr>
        <w:t xml:space="preserve">The latter is quantified using </w:t>
      </w:r>
      <w:r w:rsidRPr="00CD3970">
        <w:rPr>
          <w:rFonts w:ascii="Times New Roman" w:hAnsi="Times New Roman" w:cs="Times New Roman"/>
          <w:lang w:val="en-US"/>
        </w:rPr>
        <w:t>the Stringency Index of Hale et al (2020</w:t>
      </w:r>
      <w:r>
        <w:rPr>
          <w:rFonts w:ascii="Times New Roman" w:hAnsi="Times New Roman" w:cs="Times New Roman"/>
          <w:lang w:val="en-US"/>
        </w:rPr>
        <w:t>a</w:t>
      </w:r>
      <w:r w:rsidRPr="00CD3970">
        <w:rPr>
          <w:rFonts w:ascii="Times New Roman" w:hAnsi="Times New Roman" w:cs="Times New Roman"/>
          <w:lang w:val="en-US"/>
        </w:rPr>
        <w:t>), which assign a daily score to each country for the severity of their restrictions imposed by government, ranging from 0 to 100 and taking account of different types of restrictions</w:t>
      </w:r>
      <w:r>
        <w:rPr>
          <w:rFonts w:ascii="Times New Roman" w:hAnsi="Times New Roman" w:cs="Times New Roman"/>
          <w:lang w:val="en-US"/>
        </w:rPr>
        <w:t xml:space="preserve">: see </w:t>
      </w:r>
      <w:hyperlink r:id="rId2" w:history="1">
        <w:r w:rsidRPr="00CD3970">
          <w:rPr>
            <w:rStyle w:val="Hyperlink"/>
            <w:rFonts w:ascii="Times New Roman" w:hAnsi="Times New Roman" w:cs="Times New Roman"/>
          </w:rPr>
          <w:t>https://covidtracker.bsg.ox.ac.uk/</w:t>
        </w:r>
      </w:hyperlink>
      <w:r w:rsidRPr="00CD3970">
        <w:rPr>
          <w:rFonts w:ascii="Times New Roman" w:hAnsi="Times New Roman" w:cs="Times New Roman"/>
        </w:rPr>
        <w:t xml:space="preserve"> for the data.</w:t>
      </w:r>
    </w:p>
    <w:p w14:paraId="5328D7B0" w14:textId="77777777" w:rsidR="0008520E" w:rsidRPr="00CD3970" w:rsidRDefault="0008520E" w:rsidP="00CD3970">
      <w:pPr>
        <w:pStyle w:val="FootnoteText"/>
        <w:jc w:val="both"/>
        <w:rPr>
          <w:rFonts w:ascii="Times New Roman" w:hAnsi="Times New Roman" w:cs="Times New Roman"/>
          <w:lang w:val="en-US"/>
        </w:rPr>
      </w:pPr>
    </w:p>
  </w:footnote>
  <w:footnote w:id="4">
    <w:p w14:paraId="60E76BB4" w14:textId="77777777" w:rsidR="0008520E" w:rsidRDefault="0008520E" w:rsidP="0061614D">
      <w:pPr>
        <w:pStyle w:val="FootnoteText"/>
        <w:rPr>
          <w:rFonts w:ascii="Times New Roman" w:hAnsi="Times New Roman" w:cs="Times New Roman"/>
        </w:rPr>
      </w:pPr>
      <w:r w:rsidRPr="00A23006">
        <w:rPr>
          <w:rStyle w:val="FootnoteReference"/>
          <w:rFonts w:ascii="Times New Roman" w:hAnsi="Times New Roman" w:cs="Times New Roman"/>
        </w:rPr>
        <w:footnoteRef/>
      </w:r>
      <w:r w:rsidRPr="00A23006">
        <w:rPr>
          <w:rFonts w:ascii="Times New Roman" w:hAnsi="Times New Roman" w:cs="Times New Roman"/>
        </w:rPr>
        <w:t xml:space="preserve"> </w:t>
      </w:r>
      <w:r w:rsidRPr="00A23006">
        <w:rPr>
          <w:rFonts w:ascii="Times New Roman" w:hAnsi="Times New Roman" w:cs="Times New Roman"/>
          <w:lang w:val="en-US"/>
        </w:rPr>
        <w:t xml:space="preserve">See </w:t>
      </w:r>
      <w:hyperlink r:id="rId3" w:history="1">
        <w:r w:rsidRPr="00A23006">
          <w:rPr>
            <w:rStyle w:val="Hyperlink"/>
            <w:rFonts w:ascii="Times New Roman" w:hAnsi="Times New Roman" w:cs="Times New Roman"/>
          </w:rPr>
          <w:t>https://covidtracker.bsg.ox.ac.uk/</w:t>
        </w:r>
      </w:hyperlink>
      <w:r>
        <w:rPr>
          <w:rFonts w:ascii="Times New Roman" w:hAnsi="Times New Roman" w:cs="Times New Roman"/>
        </w:rPr>
        <w:t xml:space="preserve"> for the data.  Their other indexes produce similar results.</w:t>
      </w:r>
    </w:p>
    <w:p w14:paraId="291BC065" w14:textId="77777777" w:rsidR="0008520E" w:rsidRPr="00A23006" w:rsidRDefault="0008520E" w:rsidP="0061614D">
      <w:pPr>
        <w:pStyle w:val="FootnoteText"/>
        <w:rPr>
          <w:rFonts w:ascii="Times New Roman" w:hAnsi="Times New Roman" w:cs="Times New Roman"/>
          <w:lang w:val="en-US"/>
        </w:rPr>
      </w:pPr>
    </w:p>
  </w:footnote>
  <w:footnote w:id="5">
    <w:p w14:paraId="28B09AAA" w14:textId="77777777" w:rsidR="0008520E" w:rsidRDefault="0008520E" w:rsidP="0061614D">
      <w:pPr>
        <w:pStyle w:val="FootnoteText"/>
        <w:jc w:val="both"/>
        <w:rPr>
          <w:rFonts w:ascii="Times New Roman" w:hAnsi="Times New Roman" w:cs="Times New Roman"/>
          <w:lang w:val="en-US"/>
        </w:rPr>
      </w:pPr>
      <w:r w:rsidRPr="00623E81">
        <w:rPr>
          <w:rStyle w:val="FootnoteReference"/>
          <w:rFonts w:ascii="Times New Roman" w:hAnsi="Times New Roman" w:cs="Times New Roman"/>
        </w:rPr>
        <w:footnoteRef/>
      </w:r>
      <w:r w:rsidRPr="00623E81">
        <w:rPr>
          <w:rFonts w:ascii="Times New Roman" w:hAnsi="Times New Roman" w:cs="Times New Roman"/>
        </w:rPr>
        <w:t xml:space="preserve"> </w:t>
      </w:r>
      <w:r w:rsidRPr="00623E81">
        <w:rPr>
          <w:rFonts w:ascii="Times New Roman" w:hAnsi="Times New Roman" w:cs="Times New Roman"/>
          <w:lang w:val="en-US"/>
        </w:rPr>
        <w:t>Malta is excluded because Hale et al (2020</w:t>
      </w:r>
      <w:r>
        <w:rPr>
          <w:rFonts w:ascii="Times New Roman" w:hAnsi="Times New Roman" w:cs="Times New Roman"/>
          <w:lang w:val="en-US"/>
        </w:rPr>
        <w:t>a</w:t>
      </w:r>
      <w:r w:rsidRPr="00623E81">
        <w:rPr>
          <w:rFonts w:ascii="Times New Roman" w:hAnsi="Times New Roman" w:cs="Times New Roman"/>
          <w:lang w:val="en-US"/>
        </w:rPr>
        <w:t>) does not include data on them</w:t>
      </w:r>
      <w:r>
        <w:rPr>
          <w:rFonts w:ascii="Times New Roman" w:hAnsi="Times New Roman" w:cs="Times New Roman"/>
          <w:lang w:val="en-US"/>
        </w:rPr>
        <w:t xml:space="preserve">.  In addition the </w:t>
      </w:r>
      <w:r w:rsidRPr="00623E81">
        <w:rPr>
          <w:rFonts w:ascii="Times New Roman" w:hAnsi="Times New Roman" w:cs="Times New Roman"/>
          <w:lang w:val="en-US"/>
        </w:rPr>
        <w:t xml:space="preserve">political entities with very small populations (under 100,000) are </w:t>
      </w:r>
      <w:r>
        <w:rPr>
          <w:rFonts w:ascii="Times New Roman" w:hAnsi="Times New Roman" w:cs="Times New Roman"/>
          <w:lang w:val="en-US"/>
        </w:rPr>
        <w:t xml:space="preserve">all </w:t>
      </w:r>
      <w:r w:rsidRPr="00623E81">
        <w:rPr>
          <w:rFonts w:ascii="Times New Roman" w:hAnsi="Times New Roman" w:cs="Times New Roman"/>
          <w:lang w:val="en-US"/>
        </w:rPr>
        <w:t>excluded because</w:t>
      </w:r>
      <w:r>
        <w:rPr>
          <w:rFonts w:ascii="Times New Roman" w:hAnsi="Times New Roman" w:cs="Times New Roman"/>
          <w:lang w:val="en-US"/>
        </w:rPr>
        <w:t xml:space="preserve"> many of the data sources used for this analysis do not provide data on them.  For example, Hale et al (2020a) does not include data on the Faeroe Islands, Monaco and Liechtenstein, whilst the “List of Countries by Age Structure” does not include data on Andorra, San Marino, Gibraltar, and Greenland.</w:t>
      </w:r>
    </w:p>
    <w:p w14:paraId="1A2A3989" w14:textId="77777777" w:rsidR="0008520E" w:rsidRPr="00623E81" w:rsidRDefault="0008520E" w:rsidP="0061614D">
      <w:pPr>
        <w:pStyle w:val="FootnoteText"/>
        <w:jc w:val="both"/>
        <w:rPr>
          <w:rFonts w:ascii="Times New Roman" w:hAnsi="Times New Roman" w:cs="Times New Roman"/>
          <w:lang w:val="en-US"/>
        </w:rPr>
      </w:pPr>
    </w:p>
  </w:footnote>
  <w:footnote w:id="6">
    <w:p w14:paraId="60EE0513" w14:textId="77777777" w:rsidR="0008520E" w:rsidRPr="002218C8" w:rsidRDefault="0008520E" w:rsidP="0061614D">
      <w:pPr>
        <w:pStyle w:val="ListParagraph"/>
        <w:spacing w:after="0" w:line="240" w:lineRule="auto"/>
        <w:ind w:left="0"/>
        <w:jc w:val="both"/>
        <w:rPr>
          <w:rFonts w:ascii="Times New Roman" w:hAnsi="Times New Roman" w:cs="Times New Roman"/>
          <w:sz w:val="20"/>
          <w:szCs w:val="20"/>
          <w:lang w:val="en-US"/>
        </w:rPr>
      </w:pPr>
      <w:r>
        <w:rPr>
          <w:rStyle w:val="FootnoteReference"/>
        </w:rPr>
        <w:footnoteRef/>
      </w:r>
      <w:r>
        <w:t xml:space="preserve"> </w:t>
      </w:r>
      <w:r w:rsidRPr="002218C8">
        <w:rPr>
          <w:rFonts w:ascii="Times New Roman" w:hAnsi="Times New Roman" w:cs="Times New Roman"/>
          <w:sz w:val="20"/>
          <w:szCs w:val="20"/>
          <w:lang w:val="en-US"/>
        </w:rPr>
        <w:t xml:space="preserve">A closely </w:t>
      </w:r>
      <w:r>
        <w:rPr>
          <w:rFonts w:ascii="Times New Roman" w:hAnsi="Times New Roman" w:cs="Times New Roman"/>
          <w:sz w:val="20"/>
          <w:szCs w:val="20"/>
          <w:lang w:val="en-US"/>
        </w:rPr>
        <w:t xml:space="preserve">related variable </w:t>
      </w:r>
      <w:r w:rsidRPr="002218C8">
        <w:rPr>
          <w:rFonts w:ascii="Times New Roman" w:hAnsi="Times New Roman" w:cs="Times New Roman"/>
          <w:sz w:val="20"/>
          <w:szCs w:val="20"/>
          <w:lang w:val="en-US"/>
        </w:rPr>
        <w:t xml:space="preserve">is the number of days from the date on which the Stringency Index reached 54 (the lowest of the cross-country maxima and therefore defined for all countries) until the date of the first death, because higher values indicate a faster response by a government to the crisis.  </w:t>
      </w:r>
      <w:r>
        <w:rPr>
          <w:rFonts w:ascii="Times New Roman" w:hAnsi="Times New Roman" w:cs="Times New Roman"/>
          <w:sz w:val="20"/>
          <w:szCs w:val="20"/>
          <w:lang w:val="en-US"/>
        </w:rPr>
        <w:t xml:space="preserve">Hale et al (2020b) use a similar variable.  Each of these two variables is highly statistically significant and the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R</m:t>
            </m:r>
          </m:e>
          <m:sup>
            <m:r>
              <w:rPr>
                <w:rFonts w:ascii="Cambria Math" w:hAnsi="Cambria Math" w:cs="Times New Roman"/>
                <w:sz w:val="20"/>
                <w:szCs w:val="20"/>
                <w:lang w:val="en-US"/>
              </w:rPr>
              <m:t>2</m:t>
            </m:r>
          </m:sup>
        </m:sSup>
      </m:oMath>
      <w:r>
        <w:rPr>
          <w:rFonts w:ascii="Times New Roman" w:hAnsi="Times New Roman" w:cs="Times New Roman"/>
          <w:sz w:val="20"/>
          <w:szCs w:val="20"/>
          <w:lang w:val="en-US"/>
        </w:rPr>
        <w:t xml:space="preserve"> results from them are almost identical, but that from ‘Date of First Death’ are slightly better.  I therefore report only the results from the use of ‘Date of First Death’. </w:t>
      </w:r>
    </w:p>
    <w:p w14:paraId="26458E9C" w14:textId="77777777" w:rsidR="0008520E" w:rsidRPr="002218C8" w:rsidRDefault="0008520E" w:rsidP="0061614D">
      <w:pPr>
        <w:pStyle w:val="FootnoteText"/>
        <w:rPr>
          <w:lang w:val="en-US"/>
        </w:rPr>
      </w:pPr>
    </w:p>
  </w:footnote>
  <w:footnote w:id="7">
    <w:p w14:paraId="557CAEF1" w14:textId="77777777" w:rsidR="0008520E" w:rsidRPr="002E6127" w:rsidRDefault="0008520E" w:rsidP="0061614D">
      <w:pPr>
        <w:pStyle w:val="FootnoteText"/>
        <w:jc w:val="both"/>
        <w:rPr>
          <w:rFonts w:ascii="Times New Roman" w:hAnsi="Times New Roman" w:cs="Times New Roman"/>
        </w:rPr>
      </w:pPr>
      <w:r w:rsidRPr="002E6127">
        <w:rPr>
          <w:rStyle w:val="FootnoteReference"/>
          <w:rFonts w:ascii="Times New Roman" w:hAnsi="Times New Roman" w:cs="Times New Roman"/>
        </w:rPr>
        <w:footnoteRef/>
      </w:r>
      <w:r w:rsidRPr="002E6127">
        <w:rPr>
          <w:rFonts w:ascii="Times New Roman" w:hAnsi="Times New Roman" w:cs="Times New Roman"/>
        </w:rPr>
        <w:t xml:space="preserve"> For the population of countries, see the last column of </w:t>
      </w:r>
      <w:hyperlink r:id="rId4" w:history="1">
        <w:r w:rsidRPr="002E6127">
          <w:rPr>
            <w:rStyle w:val="Hyperlink"/>
            <w:rFonts w:ascii="Times New Roman" w:hAnsi="Times New Roman" w:cs="Times New Roman"/>
          </w:rPr>
          <w:t>https://www.worldometers.info/coronavirus/</w:t>
        </w:r>
      </w:hyperlink>
      <w:r w:rsidRPr="002E6127">
        <w:rPr>
          <w:rFonts w:ascii="Times New Roman" w:hAnsi="Times New Roman" w:cs="Times New Roman"/>
        </w:rPr>
        <w:t xml:space="preserve">.  For area of countries, see third column of </w:t>
      </w:r>
      <w:hyperlink r:id="rId5" w:history="1">
        <w:r w:rsidRPr="002E6127">
          <w:rPr>
            <w:rStyle w:val="Hyperlink"/>
            <w:rFonts w:ascii="Times New Roman" w:hAnsi="Times New Roman" w:cs="Times New Roman"/>
          </w:rPr>
          <w:t>https://en.wikipedia.org/wiki/List_of_countries_and_dependencies_by_area</w:t>
        </w:r>
      </w:hyperlink>
      <w:r w:rsidRPr="002E6127">
        <w:rPr>
          <w:rFonts w:ascii="Times New Roman" w:hAnsi="Times New Roman" w:cs="Times New Roman"/>
        </w:rPr>
        <w:t xml:space="preserve">.  For GDP per capita of countries, see the first column (IMF data) of </w:t>
      </w:r>
      <w:hyperlink r:id="rId6" w:history="1">
        <w:r w:rsidRPr="002E6127">
          <w:rPr>
            <w:rStyle w:val="Hyperlink"/>
            <w:rFonts w:ascii="Times New Roman" w:hAnsi="Times New Roman" w:cs="Times New Roman"/>
          </w:rPr>
          <w:t>https://en.wikipedia.org/wiki/List_of_countries_by_GDP_(nominal)_per_capita</w:t>
        </w:r>
      </w:hyperlink>
      <w:r w:rsidRPr="002E6127">
        <w:rPr>
          <w:rFonts w:ascii="Times New Roman" w:hAnsi="Times New Roman" w:cs="Times New Roman"/>
        </w:rPr>
        <w:t xml:space="preserve">.  For the population proportion over 65, see </w:t>
      </w:r>
      <w:hyperlink r:id="rId7" w:history="1">
        <w:r w:rsidRPr="002E6127">
          <w:rPr>
            <w:rStyle w:val="Hyperlink"/>
            <w:rFonts w:ascii="Times New Roman" w:hAnsi="Times New Roman" w:cs="Times New Roman"/>
          </w:rPr>
          <w:t>https://en.wikipedia.org/wiki/List_of_countries_by_age_structure</w:t>
        </w:r>
      </w:hyperlink>
      <w:r w:rsidRPr="002E6127">
        <w:rPr>
          <w:rFonts w:ascii="Times New Roman" w:hAnsi="Times New Roman" w:cs="Times New Roman"/>
        </w:rPr>
        <w:t xml:space="preserve">.  For average household size, see </w:t>
      </w:r>
      <w:hyperlink r:id="rId8" w:history="1">
        <w:r w:rsidRPr="002E6127">
          <w:rPr>
            <w:rStyle w:val="Hyperlink"/>
            <w:rFonts w:ascii="Times New Roman" w:hAnsi="Times New Roman" w:cs="Times New Roman"/>
          </w:rPr>
          <w:t>https://www.un.org/en/development/desa/population/publications/pdf/ageing/household_size_and_composition_around_the_world_2017_data_booklet.pdf</w:t>
        </w:r>
      </w:hyperlink>
      <w:r w:rsidRPr="002E6127">
        <w:rPr>
          <w:rFonts w:ascii="Times New Roman" w:hAnsi="Times New Roman" w:cs="Times New Roman"/>
        </w:rPr>
        <w:t xml:space="preserve">, pp. 20-24, except for Cyprus, which comes from </w:t>
      </w:r>
      <w:hyperlink r:id="rId9" w:anchor="/countries/196" w:history="1">
        <w:r w:rsidRPr="002E6127">
          <w:rPr>
            <w:rStyle w:val="Hyperlink"/>
            <w:rFonts w:ascii="Times New Roman" w:hAnsi="Times New Roman" w:cs="Times New Roman"/>
          </w:rPr>
          <w:t>https://population.un.org/Household/index.html#/countries/196</w:t>
        </w:r>
      </w:hyperlink>
      <w:r w:rsidRPr="002E6127">
        <w:rPr>
          <w:rFonts w:ascii="Times New Roman" w:hAnsi="Times New Roman" w:cs="Times New Roman"/>
        </w:rPr>
        <w:t xml:space="preserve">.  For the number of nursing and elderly home beds per 100,000 of population, see </w:t>
      </w:r>
      <w:hyperlink r:id="rId10" w:history="1">
        <w:r w:rsidRPr="002E6127">
          <w:rPr>
            <w:rStyle w:val="Hyperlink"/>
            <w:rFonts w:ascii="Times New Roman" w:hAnsi="Times New Roman" w:cs="Times New Roman"/>
          </w:rPr>
          <w:t>https://gateway.euro.who.int/en/indicators/hfa_490-5100-nursing-and-elderly-home-beds-per-100-000/</w:t>
        </w:r>
      </w:hyperlink>
      <w:r w:rsidRPr="002E6127">
        <w:rPr>
          <w:rFonts w:ascii="Times New Roman" w:hAnsi="Times New Roman" w:cs="Times New Roman"/>
        </w:rPr>
        <w:t xml:space="preserve">, which does not contain data for Bosnia, Cyprus and Portugal so these numbers were estimated from those for Croatia, Greece and Spain respectively.  </w:t>
      </w:r>
      <w:r>
        <w:rPr>
          <w:rFonts w:ascii="Times New Roman" w:hAnsi="Times New Roman" w:cs="Times New Roman"/>
        </w:rPr>
        <w:t xml:space="preserve">For flu intensity, see Appendix to Hope (2020).  </w:t>
      </w:r>
      <w:r w:rsidRPr="002E6127">
        <w:rPr>
          <w:rFonts w:ascii="Times New Roman" w:hAnsi="Times New Roman" w:cs="Times New Roman"/>
        </w:rPr>
        <w:t xml:space="preserve">The dates of the first deaths come from </w:t>
      </w:r>
      <w:hyperlink r:id="rId11" w:history="1">
        <w:r w:rsidRPr="002E6127">
          <w:rPr>
            <w:rStyle w:val="Hyperlink"/>
            <w:rFonts w:ascii="Times New Roman" w:hAnsi="Times New Roman" w:cs="Times New Roman"/>
          </w:rPr>
          <w:t>https://www.worldometers.info/coronavirus/</w:t>
        </w:r>
      </w:hyperlink>
      <w:r w:rsidRPr="002E6127">
        <w:rPr>
          <w:rFonts w:ascii="Times New Roman" w:hAnsi="Times New Roman" w:cs="Times New Roman"/>
        </w:rPr>
        <w:t>.</w:t>
      </w:r>
    </w:p>
    <w:p w14:paraId="2B503D34" w14:textId="77777777" w:rsidR="0008520E" w:rsidRPr="00E21649" w:rsidRDefault="0008520E" w:rsidP="0061614D">
      <w:pPr>
        <w:pStyle w:val="FootnoteText"/>
        <w:rPr>
          <w:lang w:val="en-US"/>
        </w:rPr>
      </w:pPr>
    </w:p>
  </w:footnote>
  <w:footnote w:id="8">
    <w:p w14:paraId="4048ABB6" w14:textId="77777777" w:rsidR="0008520E" w:rsidRPr="00AC6DDB" w:rsidRDefault="0008520E" w:rsidP="00AC6DDB">
      <w:pPr>
        <w:pStyle w:val="FootnoteText"/>
        <w:jc w:val="both"/>
        <w:rPr>
          <w:rFonts w:ascii="Times New Roman" w:hAnsi="Times New Roman" w:cs="Times New Roman"/>
          <w:lang w:val="en-US"/>
        </w:rPr>
      </w:pPr>
      <w:r w:rsidRPr="00AC6DDB">
        <w:rPr>
          <w:rStyle w:val="FootnoteReference"/>
          <w:rFonts w:ascii="Times New Roman" w:hAnsi="Times New Roman" w:cs="Times New Roman"/>
        </w:rPr>
        <w:footnoteRef/>
      </w:r>
      <w:r w:rsidRPr="00AC6DDB">
        <w:rPr>
          <w:rFonts w:ascii="Times New Roman" w:hAnsi="Times New Roman" w:cs="Times New Roman"/>
        </w:rPr>
        <w:t xml:space="preserve"> </w:t>
      </w:r>
      <w:r w:rsidRPr="00AC6DDB">
        <w:rPr>
          <w:rFonts w:ascii="Times New Roman" w:hAnsi="Times New Roman" w:cs="Times New Roman"/>
          <w:lang w:val="en-US"/>
        </w:rPr>
        <w:t xml:space="preserve">Using the average Stringency Index (from the first European death on 14 February to 30 December) instead of the maximum </w:t>
      </w:r>
      <w:r>
        <w:rPr>
          <w:rFonts w:ascii="Times New Roman" w:hAnsi="Times New Roman" w:cs="Times New Roman"/>
          <w:lang w:val="en-US"/>
        </w:rPr>
        <w:t xml:space="preserve">Stringency Index </w:t>
      </w:r>
      <w:r w:rsidRPr="00AC6DDB">
        <w:rPr>
          <w:rFonts w:ascii="Times New Roman" w:hAnsi="Times New Roman" w:cs="Times New Roman"/>
          <w:lang w:val="en-US"/>
        </w:rPr>
        <w:t>also yields a coefficient that is positive and statistically insignificant.</w:t>
      </w:r>
    </w:p>
  </w:footnote>
  <w:footnote w:id="9">
    <w:p w14:paraId="3EF04B52" w14:textId="77777777" w:rsidR="0008520E" w:rsidRDefault="0008520E" w:rsidP="00981268">
      <w:pPr>
        <w:pStyle w:val="FootnoteText"/>
        <w:rPr>
          <w:rFonts w:ascii="Times New Roman" w:hAnsi="Times New Roman" w:cs="Times New Roman"/>
        </w:rPr>
      </w:pPr>
      <w:r w:rsidRPr="00AE5F0F">
        <w:rPr>
          <w:rStyle w:val="FootnoteReference"/>
          <w:rFonts w:ascii="Times New Roman" w:hAnsi="Times New Roman" w:cs="Times New Roman"/>
        </w:rPr>
        <w:footnoteRef/>
      </w:r>
      <w:r w:rsidRPr="00AE5F0F">
        <w:rPr>
          <w:rFonts w:ascii="Times New Roman" w:hAnsi="Times New Roman" w:cs="Times New Roman"/>
        </w:rPr>
        <w:t xml:space="preserve"> </w:t>
      </w:r>
      <w:r w:rsidRPr="00AE5F0F">
        <w:rPr>
          <w:rFonts w:ascii="Times New Roman" w:hAnsi="Times New Roman" w:cs="Times New Roman"/>
          <w:lang w:val="en-US"/>
        </w:rPr>
        <w:t xml:space="preserve">See </w:t>
      </w:r>
      <w:hyperlink r:id="rId12" w:anchor="excess-mortality" w:history="1">
        <w:r w:rsidRPr="00AE5F0F">
          <w:rPr>
            <w:rStyle w:val="Hyperlink"/>
            <w:rFonts w:ascii="Times New Roman" w:hAnsi="Times New Roman" w:cs="Times New Roman"/>
          </w:rPr>
          <w:t>https://www.euromomo.eu/graphs-and-maps#excess-mortality</w:t>
        </w:r>
      </w:hyperlink>
      <w:r>
        <w:rPr>
          <w:rFonts w:ascii="Times New Roman" w:hAnsi="Times New Roman" w:cs="Times New Roman"/>
        </w:rPr>
        <w:t>.</w:t>
      </w:r>
    </w:p>
    <w:p w14:paraId="23865957" w14:textId="77777777" w:rsidR="0008520E" w:rsidRPr="00AE5F0F" w:rsidRDefault="0008520E" w:rsidP="00981268">
      <w:pPr>
        <w:pStyle w:val="FootnoteText"/>
        <w:rPr>
          <w:rFonts w:ascii="Times New Roman" w:hAnsi="Times New Roman" w:cs="Times New Roman"/>
          <w:lang w:val="en-US"/>
        </w:rPr>
      </w:pPr>
    </w:p>
  </w:footnote>
  <w:footnote w:id="10">
    <w:p w14:paraId="741E1C32" w14:textId="77777777" w:rsidR="0008520E" w:rsidRPr="00453DD9" w:rsidRDefault="0008520E" w:rsidP="00981268">
      <w:pPr>
        <w:pStyle w:val="FootnoteText"/>
        <w:jc w:val="both"/>
        <w:rPr>
          <w:rFonts w:ascii="Times New Roman" w:hAnsi="Times New Roman" w:cs="Times New Roman"/>
        </w:rPr>
      </w:pPr>
      <w:r w:rsidRPr="00453DD9">
        <w:rPr>
          <w:rStyle w:val="FootnoteReference"/>
          <w:rFonts w:ascii="Times New Roman" w:hAnsi="Times New Roman" w:cs="Times New Roman"/>
        </w:rPr>
        <w:footnoteRef/>
      </w:r>
      <w:r w:rsidRPr="00453DD9">
        <w:rPr>
          <w:rFonts w:ascii="Times New Roman" w:hAnsi="Times New Roman" w:cs="Times New Roman"/>
        </w:rPr>
        <w:t xml:space="preserve"> The countries are Austria, Belgium, Denmark, Estonia, Finland, France, Greece, Ireland, Italy, Luxembourg, Malta, Netherlands, Norway, Portugal, Spain, Sweden, Switzerland and the UK.  For the deaths, see </w:t>
      </w:r>
      <w:hyperlink r:id="rId13" w:history="1">
        <w:r w:rsidRPr="00453DD9">
          <w:rPr>
            <w:rStyle w:val="Hyperlink"/>
            <w:rFonts w:ascii="Times New Roman" w:hAnsi="Times New Roman" w:cs="Times New Roman"/>
          </w:rPr>
          <w:t>https://www.worldometers.info/coronavirus/</w:t>
        </w:r>
      </w:hyperlink>
      <w:r w:rsidRPr="00453DD9">
        <w:rPr>
          <w:rFonts w:ascii="Times New Roman" w:hAnsi="Times New Roman" w:cs="Times New Roman"/>
        </w:rPr>
        <w:t>.</w:t>
      </w:r>
    </w:p>
    <w:p w14:paraId="422C8FD8" w14:textId="77777777" w:rsidR="0008520E" w:rsidRPr="004B2266" w:rsidRDefault="0008520E" w:rsidP="00981268">
      <w:pPr>
        <w:pStyle w:val="FootnoteText"/>
        <w:rPr>
          <w:lang w:val="en-US"/>
        </w:rPr>
      </w:pPr>
    </w:p>
  </w:footnote>
  <w:footnote w:id="11">
    <w:p w14:paraId="429717AD" w14:textId="77777777" w:rsidR="0008520E" w:rsidRPr="00947E14" w:rsidRDefault="0008520E" w:rsidP="00981268">
      <w:pPr>
        <w:pStyle w:val="FootnoteText"/>
        <w:rPr>
          <w:rFonts w:ascii="Times New Roman" w:hAnsi="Times New Roman" w:cs="Times New Roman"/>
          <w:lang w:val="en-US"/>
        </w:rPr>
      </w:pPr>
      <w:r w:rsidRPr="00947E14">
        <w:rPr>
          <w:rStyle w:val="FootnoteReference"/>
          <w:rFonts w:ascii="Times New Roman" w:hAnsi="Times New Roman" w:cs="Times New Roman"/>
        </w:rPr>
        <w:footnoteRef/>
      </w:r>
      <w:r w:rsidRPr="00947E14">
        <w:rPr>
          <w:rFonts w:ascii="Times New Roman" w:hAnsi="Times New Roman" w:cs="Times New Roman"/>
        </w:rPr>
        <w:t xml:space="preserve"> </w:t>
      </w:r>
      <w:r w:rsidRPr="00947E14">
        <w:rPr>
          <w:rFonts w:ascii="Times New Roman" w:hAnsi="Times New Roman" w:cs="Times New Roman"/>
          <w:lang w:val="en-US"/>
        </w:rPr>
        <w:t xml:space="preserve">See </w:t>
      </w:r>
      <w:hyperlink r:id="rId14" w:history="1">
        <w:r w:rsidRPr="00947E14">
          <w:rPr>
            <w:rStyle w:val="Hyperlink"/>
            <w:rFonts w:ascii="Times New Roman" w:hAnsi="Times New Roman" w:cs="Times New Roman"/>
            <w:lang w:val="en-US"/>
          </w:rPr>
          <w:t>https://www.ined.fr/en/everything_about_population/data/europe-developed-countries/population-births-deaths/</w:t>
        </w:r>
      </w:hyperlink>
      <w:r>
        <w:rPr>
          <w:rFonts w:ascii="Times New Roman" w:hAnsi="Times New Roman" w:cs="Times New Roman"/>
          <w:lang w:val="en-US"/>
        </w:rPr>
        <w:t>.</w:t>
      </w:r>
    </w:p>
    <w:p w14:paraId="39742941" w14:textId="77777777" w:rsidR="0008520E" w:rsidRPr="00947E14" w:rsidRDefault="0008520E" w:rsidP="00981268">
      <w:pPr>
        <w:pStyle w:val="FootnoteText"/>
        <w:rPr>
          <w:lang w:val="en-US"/>
        </w:rPr>
      </w:pPr>
      <w:r>
        <w:rPr>
          <w:lang w:val="en-US"/>
        </w:rPr>
        <w:t>.</w:t>
      </w:r>
    </w:p>
  </w:footnote>
  <w:footnote w:id="12">
    <w:p w14:paraId="385F818C" w14:textId="77777777" w:rsidR="0008520E" w:rsidRPr="001A7D2A" w:rsidRDefault="0008520E" w:rsidP="001A7D2A">
      <w:pPr>
        <w:pStyle w:val="FootnoteText"/>
        <w:jc w:val="both"/>
        <w:rPr>
          <w:rFonts w:ascii="Times New Roman" w:hAnsi="Times New Roman" w:cs="Times New Roman"/>
          <w:lang w:val="en-US"/>
        </w:rPr>
      </w:pPr>
      <w:r w:rsidRPr="001A7D2A">
        <w:rPr>
          <w:rStyle w:val="FootnoteReference"/>
          <w:rFonts w:ascii="Times New Roman" w:hAnsi="Times New Roman" w:cs="Times New Roman"/>
        </w:rPr>
        <w:footnoteRef/>
      </w:r>
      <w:r w:rsidRPr="001A7D2A">
        <w:rPr>
          <w:rFonts w:ascii="Times New Roman" w:hAnsi="Times New Roman" w:cs="Times New Roman"/>
        </w:rPr>
        <w:t xml:space="preserve"> </w:t>
      </w:r>
      <w:r w:rsidRPr="001A7D2A">
        <w:rPr>
          <w:rFonts w:ascii="Times New Roman" w:hAnsi="Times New Roman" w:cs="Times New Roman"/>
          <w:lang w:val="en-US"/>
        </w:rPr>
        <w:t xml:space="preserve">Mass vaccination will at best reduce rather than eliminate deaths, because some people are unresponsive to vaccines or will not </w:t>
      </w:r>
      <w:r w:rsidR="003A7325">
        <w:rPr>
          <w:rFonts w:ascii="Times New Roman" w:hAnsi="Times New Roman" w:cs="Times New Roman"/>
          <w:lang w:val="en-US"/>
        </w:rPr>
        <w:t xml:space="preserve">consent to </w:t>
      </w:r>
      <w:r w:rsidRPr="001A7D2A">
        <w:rPr>
          <w:rFonts w:ascii="Times New Roman" w:hAnsi="Times New Roman" w:cs="Times New Roman"/>
          <w:lang w:val="en-US"/>
        </w:rPr>
        <w:t xml:space="preserve">them.  However, it is </w:t>
      </w:r>
      <w:r w:rsidR="007C3C42">
        <w:rPr>
          <w:rFonts w:ascii="Times New Roman" w:hAnsi="Times New Roman" w:cs="Times New Roman"/>
          <w:lang w:val="en-US"/>
        </w:rPr>
        <w:t xml:space="preserve">very </w:t>
      </w:r>
      <w:r w:rsidRPr="001A7D2A">
        <w:rPr>
          <w:rFonts w:ascii="Times New Roman" w:hAnsi="Times New Roman" w:cs="Times New Roman"/>
          <w:lang w:val="en-US"/>
        </w:rPr>
        <w:t>unlikely that lockdowns would be pursued beyond this point.  So, in assessing the merits of lockdowns and mitigation, the relevant deaths are those up to this point.</w:t>
      </w:r>
    </w:p>
  </w:footnote>
  <w:footnote w:id="13">
    <w:p w14:paraId="42F9B705" w14:textId="77777777" w:rsidR="0008520E" w:rsidRPr="00CD63C5" w:rsidRDefault="0008520E" w:rsidP="009557B6">
      <w:pPr>
        <w:pStyle w:val="FootnoteText"/>
        <w:jc w:val="both"/>
        <w:rPr>
          <w:rFonts w:ascii="Times New Roman" w:hAnsi="Times New Roman" w:cs="Times New Roman"/>
          <w:lang w:val="en-US"/>
        </w:rPr>
      </w:pPr>
      <w:r w:rsidRPr="00CD63C5">
        <w:rPr>
          <w:rStyle w:val="FootnoteReference"/>
          <w:rFonts w:ascii="Times New Roman" w:hAnsi="Times New Roman" w:cs="Times New Roman"/>
        </w:rPr>
        <w:footnoteRef/>
      </w:r>
      <w:r w:rsidRPr="00CD63C5">
        <w:rPr>
          <w:rFonts w:ascii="Times New Roman" w:hAnsi="Times New Roman" w:cs="Times New Roman"/>
        </w:rPr>
        <w:t xml:space="preserve"> </w:t>
      </w:r>
      <w:r w:rsidRPr="00CD63C5">
        <w:rPr>
          <w:rFonts w:ascii="Times New Roman" w:hAnsi="Times New Roman" w:cs="Times New Roman"/>
          <w:lang w:val="en-US"/>
        </w:rPr>
        <w:t xml:space="preserve">See </w:t>
      </w:r>
      <w:hyperlink r:id="rId15" w:history="1">
        <w:r w:rsidRPr="00CD63C5">
          <w:rPr>
            <w:rStyle w:val="Hyperlink"/>
            <w:rFonts w:ascii="Times New Roman" w:hAnsi="Times New Roman" w:cs="Times New Roman"/>
            <w:lang w:val="en-US"/>
          </w:rPr>
          <w:t>https://www.statista.com/statistics/1107913/number-of-coronavirus-deaths-in-sweden-by-age-groups/</w:t>
        </w:r>
      </w:hyperlink>
      <w:r w:rsidRPr="00CD63C5">
        <w:rPr>
          <w:rFonts w:ascii="Times New Roman" w:hAnsi="Times New Roman" w:cs="Times New Roman"/>
          <w:lang w:val="en-US"/>
        </w:rPr>
        <w:t xml:space="preserve"> and </w:t>
      </w:r>
      <w:hyperlink r:id="rId16" w:history="1">
        <w:r w:rsidRPr="00CD63C5">
          <w:rPr>
            <w:rStyle w:val="Hyperlink"/>
            <w:rFonts w:ascii="Times New Roman" w:hAnsi="Times New Roman" w:cs="Times New Roman"/>
            <w:lang w:val="en-US"/>
          </w:rPr>
          <w:t>https://apps.who.int/gho/data/?theme=main&amp;vid=61600</w:t>
        </w:r>
      </w:hyperlink>
      <w:r w:rsidRPr="00CD63C5">
        <w:rPr>
          <w:rFonts w:ascii="Times New Roman" w:hAnsi="Times New Roman" w:cs="Times New Roman"/>
          <w:lang w:val="en-US"/>
        </w:rPr>
        <w:t>.</w:t>
      </w:r>
      <w:r>
        <w:rPr>
          <w:rFonts w:ascii="Times New Roman" w:hAnsi="Times New Roman" w:cs="Times New Roman"/>
          <w:lang w:val="en-US"/>
        </w:rPr>
        <w:t xml:space="preserve">  The age distribution is only available in ten-year blocks whilst life expectancy is only available in five year blocks up to age 85 followed by an 85+ group.  So, Table 1 shows the number of victims in ten-year blocks up to age 80as per the source data, the number of victims assigned to the 80-84 block is half of that reported in the 80-89 block, the other half of that block plus the 90+ block is combined to form an 85+ block, the life expectancies for the ten-year blocks up to age 80 are averaged over the data for each ten-year block, and the  life expectancies for the last two blocks are as per the source data.  The life expectancy data is also separately reported for males and females, unlike the age distribution of the victims, and the former data is therefore averaged over the sexes (since the Miles et al, 2020, data reveal that the sex split of the victims is close to 50/50, at 56% men).</w:t>
      </w:r>
    </w:p>
    <w:p w14:paraId="00EF0885" w14:textId="77777777" w:rsidR="0008520E" w:rsidRPr="00CD63C5" w:rsidRDefault="0008520E" w:rsidP="009557B6">
      <w:pPr>
        <w:pStyle w:val="FootnoteText"/>
        <w:rPr>
          <w:lang w:val="en-US"/>
        </w:rPr>
      </w:pPr>
    </w:p>
  </w:footnote>
  <w:footnote w:id="14">
    <w:p w14:paraId="6D2697A7" w14:textId="77777777" w:rsidR="0008520E" w:rsidRPr="006E5DCA" w:rsidRDefault="0008520E" w:rsidP="009557B6">
      <w:pPr>
        <w:pStyle w:val="FootnoteText"/>
        <w:jc w:val="both"/>
        <w:rPr>
          <w:rFonts w:ascii="Times New Roman" w:hAnsi="Times New Roman" w:cs="Times New Roman"/>
          <w:lang w:val="en-US"/>
        </w:rPr>
      </w:pPr>
      <w:r w:rsidRPr="006E5DCA">
        <w:rPr>
          <w:rStyle w:val="FootnoteReference"/>
          <w:rFonts w:ascii="Times New Roman" w:hAnsi="Times New Roman" w:cs="Times New Roman"/>
        </w:rPr>
        <w:footnoteRef/>
      </w:r>
      <w:r w:rsidRPr="006E5DCA">
        <w:rPr>
          <w:rFonts w:ascii="Times New Roman" w:hAnsi="Times New Roman" w:cs="Times New Roman"/>
        </w:rPr>
        <w:t xml:space="preserve"> </w:t>
      </w:r>
      <w:r w:rsidRPr="006E5DCA">
        <w:rPr>
          <w:rFonts w:ascii="Times New Roman" w:hAnsi="Times New Roman" w:cs="Times New Roman"/>
          <w:lang w:val="en-US"/>
        </w:rPr>
        <w:t>The figure of 6.67 years in this column of the table is a weighted average of 0.6 years for the nursing home residents, with weight 6/21, and 9.1 years for the rest.</w:t>
      </w:r>
    </w:p>
    <w:p w14:paraId="7C94CA7E" w14:textId="77777777" w:rsidR="0008520E" w:rsidRPr="006E5DCA" w:rsidRDefault="0008520E" w:rsidP="009557B6">
      <w:pPr>
        <w:pStyle w:val="FootnoteText"/>
        <w:rPr>
          <w:lang w:val="en-US"/>
        </w:rPr>
      </w:pPr>
    </w:p>
  </w:footnote>
  <w:footnote w:id="15">
    <w:p w14:paraId="73292DA5" w14:textId="77777777" w:rsidR="0008520E" w:rsidRPr="00A50799" w:rsidRDefault="0008520E" w:rsidP="0017781B">
      <w:pPr>
        <w:pStyle w:val="FootnoteText"/>
        <w:jc w:val="both"/>
        <w:rPr>
          <w:rFonts w:ascii="Times New Roman" w:hAnsi="Times New Roman" w:cs="Times New Roman"/>
        </w:rPr>
      </w:pPr>
      <w:r>
        <w:rPr>
          <w:rStyle w:val="FootnoteReference"/>
        </w:rPr>
        <w:footnoteRef/>
      </w:r>
      <w:r>
        <w:t xml:space="preserve"> </w:t>
      </w:r>
      <w:r w:rsidRPr="00A50799">
        <w:rPr>
          <w:rFonts w:ascii="Times New Roman" w:hAnsi="Times New Roman" w:cs="Times New Roman"/>
        </w:rPr>
        <w:t xml:space="preserve">In respect of those dying in New York City up to </w:t>
      </w:r>
      <w:r>
        <w:rPr>
          <w:rFonts w:ascii="Times New Roman" w:hAnsi="Times New Roman" w:cs="Times New Roman"/>
        </w:rPr>
        <w:t>13 May 2020</w:t>
      </w:r>
      <w:r w:rsidRPr="00A50799">
        <w:rPr>
          <w:rFonts w:ascii="Times New Roman" w:hAnsi="Times New Roman" w:cs="Times New Roman"/>
        </w:rPr>
        <w:t xml:space="preserve">, </w:t>
      </w:r>
      <w:r>
        <w:rPr>
          <w:rFonts w:ascii="Times New Roman" w:hAnsi="Times New Roman" w:cs="Times New Roman"/>
        </w:rPr>
        <w:t xml:space="preserve">and in </w:t>
      </w:r>
      <w:r w:rsidRPr="00A50799">
        <w:rPr>
          <w:rFonts w:ascii="Times New Roman" w:hAnsi="Times New Roman" w:cs="Times New Roman"/>
        </w:rPr>
        <w:t>those cases where the existing medical condition of the patient was known (no underlying condition or at lea</w:t>
      </w:r>
      <w:r>
        <w:rPr>
          <w:rFonts w:ascii="Times New Roman" w:hAnsi="Times New Roman" w:cs="Times New Roman"/>
        </w:rPr>
        <w:t>st one underlying condition), 98%</w:t>
      </w:r>
      <w:r w:rsidRPr="00A50799">
        <w:rPr>
          <w:rFonts w:ascii="Times New Roman" w:hAnsi="Times New Roman" w:cs="Times New Roman"/>
        </w:rPr>
        <w:t xml:space="preserve"> had at least one underlying condition</w:t>
      </w:r>
      <w:r>
        <w:rPr>
          <w:rFonts w:ascii="Times New Roman" w:hAnsi="Times New Roman" w:cs="Times New Roman"/>
        </w:rPr>
        <w:t xml:space="preserve"> (the set of conditions includes diabetes, cancer, heart disease, lung disease, and hypertension)</w:t>
      </w:r>
      <w:r w:rsidRPr="00A50799">
        <w:rPr>
          <w:rFonts w:ascii="Times New Roman" w:hAnsi="Times New Roman" w:cs="Times New Roman"/>
        </w:rPr>
        <w:t xml:space="preserve">.    See </w:t>
      </w:r>
      <w:hyperlink r:id="rId17" w:history="1">
        <w:r w:rsidRPr="00A50799">
          <w:rPr>
            <w:rStyle w:val="Hyperlink"/>
            <w:rFonts w:ascii="Times New Roman" w:hAnsi="Times New Roman" w:cs="Times New Roman"/>
          </w:rPr>
          <w:t>https://www.worldometers.info/coronavirus/coronavirus-age-sex-demographics/</w:t>
        </w:r>
      </w:hyperlink>
      <w:r w:rsidRPr="00A50799">
        <w:rPr>
          <w:rFonts w:ascii="Times New Roman" w:hAnsi="Times New Roman" w:cs="Times New Roman"/>
        </w:rPr>
        <w:t xml:space="preserve">.  </w:t>
      </w:r>
    </w:p>
    <w:p w14:paraId="0DC9061C" w14:textId="77777777" w:rsidR="0008520E" w:rsidRPr="0017781B" w:rsidRDefault="0008520E">
      <w:pPr>
        <w:pStyle w:val="FootnoteText"/>
        <w:rPr>
          <w:lang w:val="en-US"/>
        </w:rPr>
      </w:pPr>
    </w:p>
  </w:footnote>
  <w:footnote w:id="16">
    <w:p w14:paraId="73FC1AB0" w14:textId="77777777" w:rsidR="0008520E" w:rsidRDefault="0008520E" w:rsidP="009557B6">
      <w:pPr>
        <w:pStyle w:val="FootnoteText"/>
        <w:jc w:val="both"/>
        <w:rPr>
          <w:rFonts w:ascii="Times New Roman" w:hAnsi="Times New Roman" w:cs="Times New Roman"/>
          <w:lang w:val="en-US"/>
        </w:rPr>
      </w:pPr>
      <w:r w:rsidRPr="007B243A">
        <w:rPr>
          <w:rStyle w:val="FootnoteReference"/>
          <w:rFonts w:ascii="Times New Roman" w:hAnsi="Times New Roman" w:cs="Times New Roman"/>
        </w:rPr>
        <w:footnoteRef/>
      </w:r>
      <w:r w:rsidRPr="007B243A">
        <w:rPr>
          <w:rFonts w:ascii="Times New Roman" w:hAnsi="Times New Roman" w:cs="Times New Roman"/>
        </w:rPr>
        <w:t xml:space="preserve"> </w:t>
      </w:r>
      <w:r w:rsidRPr="007B243A">
        <w:rPr>
          <w:rFonts w:ascii="Times New Roman" w:hAnsi="Times New Roman" w:cs="Times New Roman"/>
          <w:lang w:val="en-US"/>
        </w:rPr>
        <w:t xml:space="preserve">Data from the Period Life Tables 2012-2014, Table 5: </w:t>
      </w:r>
      <w:hyperlink r:id="rId18" w:anchor="gsc.tab=0" w:history="1">
        <w:r w:rsidRPr="007B243A">
          <w:rPr>
            <w:rStyle w:val="Hyperlink"/>
            <w:rFonts w:ascii="Times New Roman" w:hAnsi="Times New Roman" w:cs="Times New Roman"/>
            <w:lang w:val="en-US"/>
          </w:rPr>
          <w:t>http://archive.stats.govt.nz/browse_for_stats/health/life_expectancy/NZLifeTables_HOTP12-14/Data%20Quality.aspx#gsc.tab=0</w:t>
        </w:r>
      </w:hyperlink>
      <w:r w:rsidRPr="007B243A">
        <w:rPr>
          <w:rFonts w:ascii="Times New Roman" w:hAnsi="Times New Roman" w:cs="Times New Roman"/>
          <w:lang w:val="en-US"/>
        </w:rPr>
        <w:t xml:space="preserve">. </w:t>
      </w:r>
      <w:r>
        <w:rPr>
          <w:rFonts w:ascii="Times New Roman" w:hAnsi="Times New Roman" w:cs="Times New Roman"/>
          <w:lang w:val="en-US"/>
        </w:rPr>
        <w:t xml:space="preserve"> The table gives medians rather than means and therefore is not directly usable here.</w:t>
      </w:r>
    </w:p>
    <w:p w14:paraId="2998CCD2" w14:textId="77777777" w:rsidR="0008520E" w:rsidRPr="007B243A" w:rsidRDefault="0008520E" w:rsidP="009557B6">
      <w:pPr>
        <w:pStyle w:val="FootnoteText"/>
        <w:jc w:val="both"/>
        <w:rPr>
          <w:rFonts w:ascii="Times New Roman" w:hAnsi="Times New Roman" w:cs="Times New Roman"/>
          <w:lang w:val="en-US"/>
        </w:rPr>
      </w:pPr>
    </w:p>
  </w:footnote>
  <w:footnote w:id="17">
    <w:p w14:paraId="65F669EE" w14:textId="77777777" w:rsidR="0008520E" w:rsidRPr="006E5DCA" w:rsidRDefault="0008520E" w:rsidP="009557B6">
      <w:pPr>
        <w:pStyle w:val="FootnoteText"/>
        <w:jc w:val="both"/>
        <w:rPr>
          <w:rFonts w:ascii="Times New Roman" w:hAnsi="Times New Roman" w:cs="Times New Roman"/>
          <w:lang w:val="en-US"/>
        </w:rPr>
      </w:pPr>
      <w:r w:rsidRPr="00071FB6">
        <w:rPr>
          <w:rStyle w:val="FootnoteReference"/>
          <w:rFonts w:ascii="Times New Roman" w:hAnsi="Times New Roman" w:cs="Times New Roman"/>
        </w:rPr>
        <w:footnoteRef/>
      </w:r>
      <w:r w:rsidRPr="00071FB6">
        <w:rPr>
          <w:rFonts w:ascii="Times New Roman" w:hAnsi="Times New Roman" w:cs="Times New Roman"/>
        </w:rPr>
        <w:t xml:space="preserve"> </w:t>
      </w:r>
      <w:r w:rsidRPr="00071FB6">
        <w:rPr>
          <w:rFonts w:ascii="Times New Roman" w:hAnsi="Times New Roman" w:cs="Times New Roman"/>
          <w:lang w:val="en-US"/>
        </w:rPr>
        <w:t xml:space="preserve">The figure of </w:t>
      </w:r>
      <w:r>
        <w:rPr>
          <w:rFonts w:ascii="Times New Roman" w:hAnsi="Times New Roman" w:cs="Times New Roman"/>
          <w:lang w:val="en-US"/>
        </w:rPr>
        <w:t xml:space="preserve">4.72 </w:t>
      </w:r>
      <w:r w:rsidRPr="006E5DCA">
        <w:rPr>
          <w:rFonts w:ascii="Times New Roman" w:hAnsi="Times New Roman" w:cs="Times New Roman"/>
          <w:lang w:val="en-US"/>
        </w:rPr>
        <w:t xml:space="preserve">years in </w:t>
      </w:r>
      <w:r>
        <w:rPr>
          <w:rFonts w:ascii="Times New Roman" w:hAnsi="Times New Roman" w:cs="Times New Roman"/>
          <w:lang w:val="en-US"/>
        </w:rPr>
        <w:t xml:space="preserve">the penultimate </w:t>
      </w:r>
      <w:r w:rsidRPr="006E5DCA">
        <w:rPr>
          <w:rFonts w:ascii="Times New Roman" w:hAnsi="Times New Roman" w:cs="Times New Roman"/>
          <w:lang w:val="en-US"/>
        </w:rPr>
        <w:t>column of the table is a weighted average of 0.6 years for the nursing home residents, with weight 6/21, and 9.1</w:t>
      </w:r>
      <w:r>
        <w:rPr>
          <w:rFonts w:ascii="Times New Roman" w:hAnsi="Times New Roman" w:cs="Times New Roman"/>
          <w:lang w:val="en-US"/>
        </w:rPr>
        <w:t>(0.7)</w:t>
      </w:r>
      <w:r w:rsidRPr="006E5DCA">
        <w:rPr>
          <w:rFonts w:ascii="Times New Roman" w:hAnsi="Times New Roman" w:cs="Times New Roman"/>
          <w:lang w:val="en-US"/>
        </w:rPr>
        <w:t xml:space="preserve"> years for the rest.</w:t>
      </w:r>
      <w:r>
        <w:rPr>
          <w:rFonts w:ascii="Times New Roman" w:hAnsi="Times New Roman" w:cs="Times New Roman"/>
          <w:lang w:val="en-US"/>
        </w:rPr>
        <w:t xml:space="preserve">  The figure of 2.80 in the final column is </w:t>
      </w:r>
      <w:r w:rsidRPr="006E5DCA">
        <w:rPr>
          <w:rFonts w:ascii="Times New Roman" w:hAnsi="Times New Roman" w:cs="Times New Roman"/>
          <w:lang w:val="en-US"/>
        </w:rPr>
        <w:t>a weighted average of 0.6 years for the nursi</w:t>
      </w:r>
      <w:r>
        <w:rPr>
          <w:rFonts w:ascii="Times New Roman" w:hAnsi="Times New Roman" w:cs="Times New Roman"/>
          <w:lang w:val="en-US"/>
        </w:rPr>
        <w:t>ng home residents, with weight 13</w:t>
      </w:r>
      <w:r w:rsidRPr="006E5DCA">
        <w:rPr>
          <w:rFonts w:ascii="Times New Roman" w:hAnsi="Times New Roman" w:cs="Times New Roman"/>
          <w:lang w:val="en-US"/>
        </w:rPr>
        <w:t>/21, and 9.1</w:t>
      </w:r>
      <w:r>
        <w:rPr>
          <w:rFonts w:ascii="Times New Roman" w:hAnsi="Times New Roman" w:cs="Times New Roman"/>
          <w:lang w:val="en-US"/>
        </w:rPr>
        <w:t>(0.7)</w:t>
      </w:r>
      <w:r w:rsidRPr="006E5DCA">
        <w:rPr>
          <w:rFonts w:ascii="Times New Roman" w:hAnsi="Times New Roman" w:cs="Times New Roman"/>
          <w:lang w:val="en-US"/>
        </w:rPr>
        <w:t xml:space="preserve"> years for the rest.</w:t>
      </w:r>
    </w:p>
    <w:p w14:paraId="394AC0E7" w14:textId="77777777" w:rsidR="0008520E" w:rsidRPr="00071FB6" w:rsidRDefault="0008520E" w:rsidP="009557B6">
      <w:pPr>
        <w:pStyle w:val="FootnoteText"/>
        <w:rPr>
          <w:lang w:val="en-US"/>
        </w:rPr>
      </w:pPr>
    </w:p>
  </w:footnote>
  <w:footnote w:id="18">
    <w:p w14:paraId="03D737E9" w14:textId="77777777" w:rsidR="0008520E" w:rsidRPr="00CB101F" w:rsidRDefault="0008520E" w:rsidP="00CB101F">
      <w:pPr>
        <w:pStyle w:val="FootnoteText"/>
        <w:jc w:val="both"/>
        <w:rPr>
          <w:rFonts w:ascii="Times New Roman" w:hAnsi="Times New Roman" w:cs="Times New Roman"/>
          <w:lang w:val="en-US"/>
        </w:rPr>
      </w:pPr>
      <w:r w:rsidRPr="00CB101F">
        <w:rPr>
          <w:rStyle w:val="FootnoteReference"/>
          <w:rFonts w:ascii="Times New Roman" w:hAnsi="Times New Roman" w:cs="Times New Roman"/>
        </w:rPr>
        <w:footnoteRef/>
      </w:r>
      <w:r w:rsidRPr="00CB101F">
        <w:rPr>
          <w:rFonts w:ascii="Times New Roman" w:hAnsi="Times New Roman" w:cs="Times New Roman"/>
        </w:rPr>
        <w:t xml:space="preserve"> </w:t>
      </w:r>
      <w:r w:rsidRPr="00CB101F">
        <w:rPr>
          <w:rFonts w:ascii="Times New Roman" w:hAnsi="Times New Roman" w:cs="Times New Roman"/>
          <w:lang w:val="en-US"/>
        </w:rPr>
        <w:t>The figure for 2023-24 does not appear in the document, and is extrapolated from the series for comparison with the forecasts one year later, which do include 2023-24.</w:t>
      </w:r>
    </w:p>
    <w:p w14:paraId="72889EE3" w14:textId="77777777" w:rsidR="0008520E" w:rsidRPr="00CB101F" w:rsidRDefault="0008520E">
      <w:pPr>
        <w:pStyle w:val="FootnoteText"/>
        <w:rPr>
          <w:lang w:val="en-US"/>
        </w:rPr>
      </w:pPr>
    </w:p>
  </w:footnote>
  <w:footnote w:id="19">
    <w:p w14:paraId="7E4461F9" w14:textId="77777777" w:rsidR="0008520E" w:rsidRPr="00D72842" w:rsidRDefault="0008520E">
      <w:pPr>
        <w:pStyle w:val="FootnoteText"/>
        <w:rPr>
          <w:rFonts w:ascii="Times New Roman" w:hAnsi="Times New Roman" w:cs="Times New Roman"/>
          <w:lang w:val="en-US"/>
        </w:rPr>
      </w:pPr>
      <w:r w:rsidRPr="00D72842">
        <w:rPr>
          <w:rStyle w:val="FootnoteReference"/>
          <w:rFonts w:ascii="Times New Roman" w:hAnsi="Times New Roman" w:cs="Times New Roman"/>
        </w:rPr>
        <w:footnoteRef/>
      </w:r>
      <w:r w:rsidRPr="00D72842">
        <w:rPr>
          <w:rFonts w:ascii="Times New Roman" w:hAnsi="Times New Roman" w:cs="Times New Roman"/>
        </w:rPr>
        <w:t xml:space="preserve"> </w:t>
      </w:r>
      <w:r w:rsidRPr="00D72842">
        <w:rPr>
          <w:rFonts w:ascii="Times New Roman" w:hAnsi="Times New Roman" w:cs="Times New Roman"/>
          <w:lang w:val="en-US"/>
        </w:rPr>
        <w:t xml:space="preserve">The GDP figure comes from Table H1 on the website of the RBA: </w:t>
      </w:r>
      <w:hyperlink r:id="rId19" w:history="1">
        <w:r w:rsidRPr="00D72842">
          <w:rPr>
            <w:rStyle w:val="Hyperlink"/>
            <w:rFonts w:ascii="Times New Roman" w:hAnsi="Times New Roman" w:cs="Times New Roman"/>
            <w:lang w:val="en-US"/>
          </w:rPr>
          <w:t>https://www.rba.gov.au/statistics/</w:t>
        </w:r>
      </w:hyperlink>
      <w:r w:rsidRPr="00D72842">
        <w:rPr>
          <w:rFonts w:ascii="Times New Roman" w:hAnsi="Times New Roman" w:cs="Times New Roman"/>
          <w:lang w:val="en-US"/>
        </w:rPr>
        <w:t>.</w:t>
      </w:r>
    </w:p>
  </w:footnote>
  <w:footnote w:id="20">
    <w:p w14:paraId="206F82DF" w14:textId="77777777" w:rsidR="0008520E" w:rsidRPr="00697A56" w:rsidRDefault="0008520E" w:rsidP="008702F9">
      <w:pPr>
        <w:pStyle w:val="FootnoteText"/>
        <w:jc w:val="both"/>
        <w:rPr>
          <w:rFonts w:ascii="Times New Roman" w:hAnsi="Times New Roman" w:cs="Times New Roman"/>
          <w:lang w:val="en-US"/>
        </w:rPr>
      </w:pPr>
      <w:r w:rsidRPr="00697A56">
        <w:rPr>
          <w:rStyle w:val="FootnoteReference"/>
          <w:rFonts w:ascii="Times New Roman" w:hAnsi="Times New Roman" w:cs="Times New Roman"/>
        </w:rPr>
        <w:footnoteRef/>
      </w:r>
      <w:r w:rsidRPr="00697A56">
        <w:rPr>
          <w:rFonts w:ascii="Times New Roman" w:hAnsi="Times New Roman" w:cs="Times New Roman"/>
        </w:rPr>
        <w:t xml:space="preserve"> </w:t>
      </w:r>
      <w:r w:rsidRPr="00697A56">
        <w:rPr>
          <w:rFonts w:ascii="Times New Roman" w:hAnsi="Times New Roman" w:cs="Times New Roman"/>
          <w:lang w:val="en-US"/>
        </w:rPr>
        <w:t xml:space="preserve">Blakely </w:t>
      </w:r>
      <w:r>
        <w:rPr>
          <w:rFonts w:ascii="Times New Roman" w:hAnsi="Times New Roman" w:cs="Times New Roman"/>
          <w:lang w:val="en-US"/>
        </w:rPr>
        <w:t xml:space="preserve">and Wilson </w:t>
      </w:r>
      <w:r w:rsidRPr="00697A56">
        <w:rPr>
          <w:rFonts w:ascii="Times New Roman" w:hAnsi="Times New Roman" w:cs="Times New Roman"/>
          <w:lang w:val="en-US"/>
        </w:rPr>
        <w:t xml:space="preserve">assume a basic reproduction rate of </w:t>
      </w:r>
      <w:r w:rsidRPr="00697A56">
        <w:rPr>
          <w:rFonts w:ascii="Times New Roman" w:hAnsi="Times New Roman" w:cs="Times New Roman"/>
          <w:i/>
          <w:lang w:val="en-US"/>
        </w:rPr>
        <w:t>R</w:t>
      </w:r>
      <w:r w:rsidRPr="00697A56">
        <w:rPr>
          <w:rFonts w:ascii="Times New Roman" w:hAnsi="Times New Roman" w:cs="Times New Roman"/>
          <w:i/>
          <w:vertAlign w:val="subscript"/>
          <w:lang w:val="en-US"/>
        </w:rPr>
        <w:t>0</w:t>
      </w:r>
      <w:r w:rsidRPr="00697A56">
        <w:rPr>
          <w:rFonts w:ascii="Times New Roman" w:hAnsi="Times New Roman" w:cs="Times New Roman"/>
          <w:lang w:val="en-US"/>
        </w:rPr>
        <w:t xml:space="preserve"> = 2.5 coupled with the classical formula that </w:t>
      </w:r>
      <w:r>
        <w:rPr>
          <w:rFonts w:ascii="Times New Roman" w:hAnsi="Times New Roman" w:cs="Times New Roman"/>
          <w:lang w:val="en-US"/>
        </w:rPr>
        <w:t>the “</w:t>
      </w:r>
      <w:r w:rsidRPr="00697A56">
        <w:rPr>
          <w:rFonts w:ascii="Times New Roman" w:hAnsi="Times New Roman" w:cs="Times New Roman"/>
          <w:lang w:val="en-US"/>
        </w:rPr>
        <w:t>Herd I</w:t>
      </w:r>
      <w:r>
        <w:rPr>
          <w:rFonts w:ascii="Times New Roman" w:hAnsi="Times New Roman" w:cs="Times New Roman"/>
          <w:lang w:val="en-US"/>
        </w:rPr>
        <w:t>mmunity T</w:t>
      </w:r>
      <w:r w:rsidRPr="00697A56">
        <w:rPr>
          <w:rFonts w:ascii="Times New Roman" w:hAnsi="Times New Roman" w:cs="Times New Roman"/>
          <w:lang w:val="en-US"/>
        </w:rPr>
        <w:t>hreshold</w:t>
      </w:r>
      <w:r>
        <w:rPr>
          <w:rFonts w:ascii="Times New Roman" w:hAnsi="Times New Roman" w:cs="Times New Roman"/>
          <w:lang w:val="en-US"/>
        </w:rPr>
        <w:t>”</w:t>
      </w:r>
      <w:r w:rsidRPr="00697A56">
        <w:rPr>
          <w:rFonts w:ascii="Times New Roman" w:hAnsi="Times New Roman" w:cs="Times New Roman"/>
          <w:lang w:val="en-US"/>
        </w:rPr>
        <w:t xml:space="preserve"> = 1 – (1/</w:t>
      </w:r>
      <w:r w:rsidRPr="00FB28B4">
        <w:rPr>
          <w:rFonts w:ascii="Times New Roman" w:hAnsi="Times New Roman" w:cs="Times New Roman"/>
          <w:i/>
          <w:lang w:val="en-US"/>
        </w:rPr>
        <w:t>R</w:t>
      </w:r>
      <w:r w:rsidRPr="00FB28B4">
        <w:rPr>
          <w:rFonts w:ascii="Times New Roman" w:hAnsi="Times New Roman" w:cs="Times New Roman"/>
          <w:i/>
          <w:vertAlign w:val="subscript"/>
          <w:lang w:val="en-US"/>
        </w:rPr>
        <w:t>0</w:t>
      </w:r>
      <w:r w:rsidRPr="00697A56">
        <w:rPr>
          <w:rFonts w:ascii="Times New Roman" w:hAnsi="Times New Roman" w:cs="Times New Roman"/>
          <w:lang w:val="en-US"/>
        </w:rPr>
        <w:t>).</w:t>
      </w:r>
      <w:r>
        <w:rPr>
          <w:rFonts w:ascii="Times New Roman" w:hAnsi="Times New Roman" w:cs="Times New Roman"/>
          <w:lang w:val="en-US"/>
        </w:rPr>
        <w:t xml:space="preserve">  This formula overestimates the Herd Immunity Threshold because it assumes no change in behavior by people as the death toll rises.  It also assumes that all members of a population are equally exposed to the virus and equally susceptible to it, which is not the case and this implies that herd immunity is achieved at a much lower proportion of the population infected (</w:t>
      </w:r>
      <w:r>
        <w:rPr>
          <w:rFonts w:ascii="Times New Roman" w:hAnsi="Times New Roman" w:cs="Times New Roman"/>
          <w:lang w:val="en-US"/>
        </w:rPr>
        <w:t>Aguas et al, 2020).</w:t>
      </w:r>
    </w:p>
    <w:p w14:paraId="70FC70C3" w14:textId="77777777" w:rsidR="0008520E" w:rsidRPr="00697A56" w:rsidRDefault="0008520E" w:rsidP="008702F9">
      <w:pPr>
        <w:pStyle w:val="FootnoteText"/>
        <w:rPr>
          <w:lang w:val="en-US"/>
        </w:rPr>
      </w:pPr>
    </w:p>
  </w:footnote>
  <w:footnote w:id="21">
    <w:p w14:paraId="1F7EDB2F" w14:textId="77777777" w:rsidR="0008520E" w:rsidRDefault="0008520E" w:rsidP="008702F9">
      <w:pPr>
        <w:pStyle w:val="FootnoteText"/>
        <w:jc w:val="both"/>
        <w:rPr>
          <w:rFonts w:ascii="Times New Roman" w:hAnsi="Times New Roman" w:cs="Times New Roman"/>
          <w:lang w:val="en-US"/>
        </w:rPr>
      </w:pPr>
      <w:r w:rsidRPr="00EB3B20">
        <w:rPr>
          <w:rStyle w:val="FootnoteReference"/>
          <w:rFonts w:ascii="Times New Roman" w:hAnsi="Times New Roman" w:cs="Times New Roman"/>
        </w:rPr>
        <w:footnoteRef/>
      </w:r>
      <w:r w:rsidRPr="00EB3B20">
        <w:rPr>
          <w:rFonts w:ascii="Times New Roman" w:hAnsi="Times New Roman" w:cs="Times New Roman"/>
        </w:rPr>
        <w:t xml:space="preserve"> </w:t>
      </w:r>
      <w:r w:rsidRPr="00EB3B20">
        <w:rPr>
          <w:rFonts w:ascii="Times New Roman" w:hAnsi="Times New Roman" w:cs="Times New Roman"/>
          <w:lang w:val="en-US"/>
        </w:rPr>
        <w:t xml:space="preserve">See </w:t>
      </w:r>
      <w:hyperlink r:id="rId20" w:history="1">
        <w:r w:rsidRPr="00EB3B20">
          <w:rPr>
            <w:rStyle w:val="Hyperlink"/>
            <w:rFonts w:ascii="Times New Roman" w:hAnsi="Times New Roman" w:cs="Times New Roman"/>
            <w:lang w:val="en-US"/>
          </w:rPr>
          <w:t>https://www.worldometers.info/coronavirus/</w:t>
        </w:r>
      </w:hyperlink>
      <w:r w:rsidRPr="00EB3B20">
        <w:rPr>
          <w:rFonts w:ascii="Times New Roman" w:hAnsi="Times New Roman" w:cs="Times New Roman"/>
          <w:lang w:val="en-US"/>
        </w:rPr>
        <w:t xml:space="preserve">. </w:t>
      </w:r>
      <w:r>
        <w:rPr>
          <w:rFonts w:ascii="Times New Roman" w:hAnsi="Times New Roman" w:cs="Times New Roman"/>
          <w:lang w:val="en-US"/>
        </w:rPr>
        <w:t xml:space="preserve"> </w:t>
      </w:r>
    </w:p>
    <w:p w14:paraId="60AB54BE" w14:textId="77777777" w:rsidR="0008520E" w:rsidRPr="00EB3B20" w:rsidRDefault="0008520E" w:rsidP="008702F9">
      <w:pPr>
        <w:pStyle w:val="FootnoteText"/>
        <w:jc w:val="both"/>
        <w:rPr>
          <w:rFonts w:ascii="Times New Roman" w:hAnsi="Times New Roman" w:cs="Times New Roman"/>
          <w:lang w:val="en-US"/>
        </w:rPr>
      </w:pPr>
    </w:p>
  </w:footnote>
  <w:footnote w:id="22">
    <w:p w14:paraId="27DEDF7B" w14:textId="77777777" w:rsidR="0008520E" w:rsidRPr="00CB101F" w:rsidRDefault="0008520E" w:rsidP="00951034">
      <w:pPr>
        <w:pStyle w:val="FootnoteText"/>
        <w:jc w:val="both"/>
        <w:rPr>
          <w:rFonts w:ascii="Times New Roman" w:hAnsi="Times New Roman" w:cs="Times New Roman"/>
          <w:lang w:val="en-US"/>
        </w:rPr>
      </w:pPr>
      <w:r w:rsidRPr="00CB101F">
        <w:rPr>
          <w:rStyle w:val="FootnoteReference"/>
          <w:rFonts w:ascii="Times New Roman" w:hAnsi="Times New Roman" w:cs="Times New Roman"/>
        </w:rPr>
        <w:footnoteRef/>
      </w:r>
      <w:r w:rsidRPr="00CB101F">
        <w:rPr>
          <w:rFonts w:ascii="Times New Roman" w:hAnsi="Times New Roman" w:cs="Times New Roman"/>
        </w:rPr>
        <w:t xml:space="preserve"> </w:t>
      </w:r>
      <w:r w:rsidRPr="00CB101F">
        <w:rPr>
          <w:rFonts w:ascii="Times New Roman" w:hAnsi="Times New Roman" w:cs="Times New Roman"/>
          <w:lang w:val="en-US"/>
        </w:rPr>
        <w:t>The figure for 2023-24 does not appear in the document, and is extrapolated from the series for comparison with the forecasts one year later, which do include 2023-24.</w:t>
      </w:r>
    </w:p>
    <w:p w14:paraId="2C303F16" w14:textId="77777777" w:rsidR="0008520E" w:rsidRPr="00CB101F" w:rsidRDefault="0008520E" w:rsidP="00951034">
      <w:pPr>
        <w:pStyle w:val="FootnoteText"/>
        <w:rPr>
          <w:lang w:val="en-US"/>
        </w:rPr>
      </w:pPr>
    </w:p>
  </w:footnote>
  <w:footnote w:id="23">
    <w:p w14:paraId="51F0FAD2" w14:textId="77777777" w:rsidR="00C1321D" w:rsidRDefault="00C1321D" w:rsidP="00C1321D">
      <w:pPr>
        <w:pStyle w:val="FootnoteText"/>
        <w:jc w:val="both"/>
        <w:rPr>
          <w:rFonts w:ascii="Times New Roman" w:hAnsi="Times New Roman" w:cs="Times New Roman"/>
          <w:lang w:val="en-US"/>
        </w:rPr>
      </w:pPr>
      <w:r w:rsidRPr="00D72842">
        <w:rPr>
          <w:rStyle w:val="FootnoteReference"/>
          <w:rFonts w:ascii="Times New Roman" w:hAnsi="Times New Roman" w:cs="Times New Roman"/>
        </w:rPr>
        <w:footnoteRef/>
      </w:r>
      <w:r w:rsidRPr="00D72842">
        <w:rPr>
          <w:rFonts w:ascii="Times New Roman" w:hAnsi="Times New Roman" w:cs="Times New Roman"/>
        </w:rPr>
        <w:t xml:space="preserve"> </w:t>
      </w:r>
      <w:r>
        <w:rPr>
          <w:rFonts w:ascii="Times New Roman" w:hAnsi="Times New Roman" w:cs="Times New Roman"/>
          <w:lang w:val="en-US"/>
        </w:rPr>
        <w:t xml:space="preserve">For the </w:t>
      </w:r>
      <w:r>
        <w:rPr>
          <w:rFonts w:ascii="Times New Roman" w:hAnsi="Times New Roman" w:cs="Times New Roman"/>
          <w:lang w:val="en-US"/>
        </w:rPr>
        <w:t xml:space="preserve">Labour Force figure, see </w:t>
      </w:r>
      <w:hyperlink r:id="rId21" w:history="1">
        <w:r w:rsidRPr="00B4353A">
          <w:rPr>
            <w:rStyle w:val="Hyperlink"/>
            <w:rFonts w:ascii="Times New Roman" w:hAnsi="Times New Roman" w:cs="Times New Roman"/>
            <w:lang w:val="en-US"/>
          </w:rPr>
          <w:t>https://www.abs.gov.au/statistics/labour/employment-and-unemployment/labour-force-australia/latest-release</w:t>
        </w:r>
      </w:hyperlink>
      <w:r>
        <w:rPr>
          <w:rFonts w:ascii="Times New Roman" w:hAnsi="Times New Roman" w:cs="Times New Roman"/>
          <w:lang w:val="en-US"/>
        </w:rPr>
        <w:t>.</w:t>
      </w:r>
    </w:p>
    <w:p w14:paraId="24D31D3D" w14:textId="77777777" w:rsidR="00C1321D" w:rsidRPr="00D72842" w:rsidRDefault="00C1321D" w:rsidP="00C1321D">
      <w:pPr>
        <w:pStyle w:val="FootnoteText"/>
        <w:jc w:val="both"/>
        <w:rPr>
          <w:rFonts w:ascii="Times New Roman" w:hAnsi="Times New Roman" w:cs="Times New Roman"/>
          <w:lang w:val="en-US"/>
        </w:rPr>
      </w:pPr>
    </w:p>
  </w:footnote>
  <w:footnote w:id="24">
    <w:p w14:paraId="5215638F" w14:textId="77777777" w:rsidR="0008520E" w:rsidRPr="009D25A2" w:rsidRDefault="0008520E" w:rsidP="009D25A2">
      <w:pPr>
        <w:pStyle w:val="FootnoteText"/>
        <w:jc w:val="both"/>
        <w:rPr>
          <w:rFonts w:ascii="Times New Roman" w:hAnsi="Times New Roman" w:cs="Times New Roman"/>
          <w:lang w:val="en-US"/>
        </w:rPr>
      </w:pPr>
      <w:r w:rsidRPr="009D25A2">
        <w:rPr>
          <w:rStyle w:val="FootnoteReference"/>
          <w:rFonts w:ascii="Times New Roman" w:hAnsi="Times New Roman" w:cs="Times New Roman"/>
        </w:rPr>
        <w:footnoteRef/>
      </w:r>
      <w:r w:rsidRPr="009D25A2">
        <w:rPr>
          <w:rFonts w:ascii="Times New Roman" w:hAnsi="Times New Roman" w:cs="Times New Roman"/>
        </w:rPr>
        <w:t xml:space="preserve"> </w:t>
      </w:r>
      <w:r w:rsidRPr="009D25A2">
        <w:rPr>
          <w:rFonts w:ascii="Times New Roman" w:hAnsi="Times New Roman" w:cs="Times New Roman"/>
          <w:lang w:val="en-US"/>
        </w:rPr>
        <w:t xml:space="preserve">Frijters (2020) estimates that this loss reduces a person’s WELLBYs (a measure of happiness) by 0.7 and </w:t>
      </w:r>
      <w:r>
        <w:rPr>
          <w:rFonts w:ascii="Times New Roman" w:hAnsi="Times New Roman" w:cs="Times New Roman"/>
          <w:lang w:val="en-US"/>
        </w:rPr>
        <w:t xml:space="preserve">the </w:t>
      </w:r>
      <w:r w:rsidRPr="009D25A2">
        <w:rPr>
          <w:rFonts w:ascii="Times New Roman" w:hAnsi="Times New Roman" w:cs="Times New Roman"/>
          <w:lang w:val="en-US"/>
        </w:rPr>
        <w:t>loss of life by a healthy person would reduce WELLBY</w:t>
      </w:r>
      <w:r>
        <w:rPr>
          <w:rFonts w:ascii="Times New Roman" w:hAnsi="Times New Roman" w:cs="Times New Roman"/>
          <w:lang w:val="en-US"/>
        </w:rPr>
        <w:t>s by 6.  So, the loss of employment for one year is equivalent to the loss of 0.7/6 = 0.12 years of healthy life.</w:t>
      </w:r>
    </w:p>
    <w:p w14:paraId="199939D8" w14:textId="77777777" w:rsidR="0008520E" w:rsidRPr="009D25A2" w:rsidRDefault="0008520E">
      <w:pPr>
        <w:pStyle w:val="FootnoteText"/>
        <w:rPr>
          <w:lang w:val="en-US"/>
        </w:rPr>
      </w:pPr>
    </w:p>
  </w:footnote>
  <w:footnote w:id="25">
    <w:p w14:paraId="264CE598" w14:textId="77777777" w:rsidR="0008520E" w:rsidRDefault="0008520E" w:rsidP="00D83BA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Miles et al (2020, page 68) reports a guideline figure of 30,000 pounds used in hospitals in the UK (which is close to its 2019 GDP per capita of 32,000 pounds) and the larger figure of $125,000 in the US (ibid, page 72), which is approximately double its 2019 GDP per capita of $65,000.  </w:t>
      </w:r>
    </w:p>
    <w:p w14:paraId="6F10AEB0" w14:textId="77777777" w:rsidR="0008520E" w:rsidRPr="002B24E3" w:rsidRDefault="0008520E">
      <w:pPr>
        <w:pStyle w:val="FootnoteText"/>
        <w:rPr>
          <w:lang w:val="en-US"/>
        </w:rPr>
      </w:pPr>
    </w:p>
  </w:footnote>
  <w:footnote w:id="26">
    <w:p w14:paraId="6E0A9829" w14:textId="77777777" w:rsidR="0008520E" w:rsidRPr="008B659B" w:rsidRDefault="0008520E" w:rsidP="008B659B">
      <w:pPr>
        <w:pStyle w:val="FootnoteText"/>
        <w:jc w:val="both"/>
        <w:rPr>
          <w:rFonts w:ascii="Times New Roman" w:hAnsi="Times New Roman" w:cs="Times New Roman"/>
          <w:lang w:val="en-US"/>
        </w:rPr>
      </w:pPr>
      <w:r w:rsidRPr="008B659B">
        <w:rPr>
          <w:rStyle w:val="FootnoteReference"/>
          <w:rFonts w:ascii="Times New Roman" w:hAnsi="Times New Roman" w:cs="Times New Roman"/>
        </w:rPr>
        <w:footnoteRef/>
      </w:r>
      <w:r w:rsidRPr="008B659B">
        <w:rPr>
          <w:rFonts w:ascii="Times New Roman" w:hAnsi="Times New Roman" w:cs="Times New Roman"/>
        </w:rPr>
        <w:t xml:space="preserve"> </w:t>
      </w:r>
      <w:r w:rsidRPr="008B659B">
        <w:rPr>
          <w:rFonts w:ascii="Times New Roman" w:hAnsi="Times New Roman" w:cs="Times New Roman"/>
          <w:lang w:val="en-US"/>
        </w:rPr>
        <w:t xml:space="preserve">80.7 years for men and 84.9 for women.  See </w:t>
      </w:r>
      <w:hyperlink r:id="rId22" w:history="1">
        <w:r w:rsidRPr="008B659B">
          <w:rPr>
            <w:rStyle w:val="Hyperlink"/>
            <w:rFonts w:ascii="Times New Roman" w:hAnsi="Times New Roman" w:cs="Times New Roman"/>
            <w:lang w:val="en-US"/>
          </w:rPr>
          <w:t>https://www.aihw.gov.au/reports/life-expectancy-death/deaths-in-australia/contents/life-expectancy</w:t>
        </w:r>
      </w:hyperlink>
      <w:r w:rsidRPr="008B659B">
        <w:rPr>
          <w:rFonts w:ascii="Times New Roman" w:hAnsi="Times New Roman" w:cs="Times New Roman"/>
          <w:lang w:val="en-US"/>
        </w:rPr>
        <w:t>.</w:t>
      </w:r>
    </w:p>
    <w:p w14:paraId="277C5169" w14:textId="77777777" w:rsidR="0008520E" w:rsidRPr="008B659B" w:rsidRDefault="0008520E">
      <w:pPr>
        <w:pStyle w:val="FootnoteText"/>
        <w:rPr>
          <w:lang w:val="en-US"/>
        </w:rPr>
      </w:pPr>
    </w:p>
  </w:footnote>
  <w:footnote w:id="27">
    <w:p w14:paraId="674BEE00" w14:textId="77777777" w:rsidR="0008520E" w:rsidRPr="00754835" w:rsidRDefault="0008520E">
      <w:pPr>
        <w:pStyle w:val="FootnoteText"/>
        <w:rPr>
          <w:rFonts w:ascii="Times New Roman" w:hAnsi="Times New Roman" w:cs="Times New Roman"/>
          <w:lang w:val="en-US"/>
        </w:rPr>
      </w:pPr>
      <w:r w:rsidRPr="00754835">
        <w:rPr>
          <w:rStyle w:val="FootnoteReference"/>
          <w:rFonts w:ascii="Times New Roman" w:hAnsi="Times New Roman" w:cs="Times New Roman"/>
        </w:rPr>
        <w:footnoteRef/>
      </w:r>
      <w:r w:rsidRPr="00754835">
        <w:rPr>
          <w:rFonts w:ascii="Times New Roman" w:hAnsi="Times New Roman" w:cs="Times New Roman"/>
        </w:rPr>
        <w:t xml:space="preserve"> </w:t>
      </w:r>
      <w:r>
        <w:rPr>
          <w:rFonts w:ascii="Times New Roman" w:hAnsi="Times New Roman" w:cs="Times New Roman"/>
        </w:rPr>
        <w:t xml:space="preserve">The RBA reports the yield on these bonds at </w:t>
      </w:r>
      <w:r>
        <w:rPr>
          <w:rFonts w:ascii="Times New Roman" w:hAnsi="Times New Roman" w:cs="Times New Roman"/>
          <w:lang w:val="en-US"/>
        </w:rPr>
        <w:t>Table F2:</w:t>
      </w:r>
      <w:r w:rsidRPr="00754835">
        <w:rPr>
          <w:rFonts w:ascii="Times New Roman" w:hAnsi="Times New Roman" w:cs="Times New Roman"/>
          <w:lang w:val="en-US"/>
        </w:rPr>
        <w:t xml:space="preserve"> </w:t>
      </w:r>
      <w:hyperlink r:id="rId23" w:anchor="interest-rates" w:history="1">
        <w:r w:rsidRPr="00754835">
          <w:rPr>
            <w:rStyle w:val="Hyperlink"/>
            <w:rFonts w:ascii="Times New Roman" w:hAnsi="Times New Roman" w:cs="Times New Roman"/>
            <w:lang w:val="en-US"/>
          </w:rPr>
          <w:t>https://www.rba.gov.au/statistics/tables/#interest-rates</w:t>
        </w:r>
      </w:hyperlink>
      <w:r w:rsidRPr="00754835">
        <w:rPr>
          <w:rFonts w:ascii="Times New Roman" w:hAnsi="Times New Roman" w:cs="Times New Roman"/>
          <w:lang w:val="en-US"/>
        </w:rPr>
        <w:t>.</w:t>
      </w:r>
    </w:p>
  </w:footnote>
  <w:footnote w:id="28">
    <w:p w14:paraId="66F6736E" w14:textId="77777777" w:rsidR="0008520E" w:rsidRDefault="0008520E" w:rsidP="008702F9">
      <w:pPr>
        <w:pStyle w:val="FootnoteText"/>
        <w:jc w:val="both"/>
        <w:rPr>
          <w:rFonts w:ascii="Times New Roman" w:hAnsi="Times New Roman" w:cs="Times New Roman"/>
          <w:lang w:val="en-US"/>
        </w:rPr>
      </w:pPr>
      <w:r w:rsidRPr="003A2A3D">
        <w:rPr>
          <w:rStyle w:val="FootnoteReference"/>
          <w:rFonts w:ascii="Times New Roman" w:hAnsi="Times New Roman" w:cs="Times New Roman"/>
        </w:rPr>
        <w:footnoteRef/>
      </w:r>
      <w:r w:rsidRPr="003A2A3D">
        <w:rPr>
          <w:rFonts w:ascii="Times New Roman" w:hAnsi="Times New Roman" w:cs="Times New Roman"/>
        </w:rPr>
        <w:t xml:space="preserve"> </w:t>
      </w:r>
      <w:r>
        <w:rPr>
          <w:rFonts w:ascii="Times New Roman" w:hAnsi="Times New Roman" w:cs="Times New Roman"/>
        </w:rPr>
        <w:t xml:space="preserve">Ten months seems like an upper bound in view of the fact that </w:t>
      </w:r>
      <w:r>
        <w:rPr>
          <w:rFonts w:ascii="Times New Roman" w:hAnsi="Times New Roman" w:cs="Times New Roman"/>
          <w:lang w:val="en-US"/>
        </w:rPr>
        <w:t>mass vaccination has commenced in Europe.</w:t>
      </w:r>
    </w:p>
    <w:p w14:paraId="17B71F5A" w14:textId="77777777" w:rsidR="0008520E" w:rsidRPr="003A2A3D" w:rsidRDefault="0008520E" w:rsidP="008702F9">
      <w:pPr>
        <w:pStyle w:val="FootnoteText"/>
        <w:jc w:val="both"/>
        <w:rPr>
          <w:rFonts w:ascii="Times New Roman" w:hAnsi="Times New Roman" w:cs="Times New Roman"/>
          <w:lang w:val="en-US"/>
        </w:rPr>
      </w:pPr>
    </w:p>
  </w:footnote>
  <w:footnote w:id="29">
    <w:p w14:paraId="673A71BF" w14:textId="77777777" w:rsidR="00237672" w:rsidRPr="00237672" w:rsidRDefault="00237672" w:rsidP="00237672">
      <w:pPr>
        <w:pStyle w:val="FootnoteText"/>
        <w:jc w:val="both"/>
        <w:rPr>
          <w:rFonts w:ascii="Times New Roman" w:hAnsi="Times New Roman" w:cs="Times New Roman"/>
          <w:lang w:val="en-US"/>
        </w:rPr>
      </w:pPr>
      <w:r w:rsidRPr="00237672">
        <w:rPr>
          <w:rStyle w:val="FootnoteReference"/>
          <w:rFonts w:ascii="Times New Roman" w:hAnsi="Times New Roman" w:cs="Times New Roman"/>
        </w:rPr>
        <w:footnoteRef/>
      </w:r>
      <w:r w:rsidRPr="00237672">
        <w:rPr>
          <w:rFonts w:ascii="Times New Roman" w:hAnsi="Times New Roman" w:cs="Times New Roman"/>
        </w:rPr>
        <w:t xml:space="preserve"> </w:t>
      </w:r>
      <w:r w:rsidRPr="00237672">
        <w:rPr>
          <w:rFonts w:ascii="Times New Roman" w:hAnsi="Times New Roman" w:cs="Times New Roman"/>
          <w:lang w:val="en-US"/>
        </w:rPr>
        <w:t>The November 2019 forecasts do not provide a forecast for the year ended June 2022, and the forecast for the year ended December 2021 is used as a proxy for it.</w:t>
      </w:r>
    </w:p>
    <w:p w14:paraId="482A931D" w14:textId="77777777" w:rsidR="00237672" w:rsidRPr="00237672" w:rsidRDefault="00237672">
      <w:pPr>
        <w:pStyle w:val="FootnoteText"/>
        <w:rPr>
          <w:lang w:val="en-US"/>
        </w:rPr>
      </w:pPr>
    </w:p>
  </w:footnote>
  <w:footnote w:id="30">
    <w:p w14:paraId="245A9A80" w14:textId="77777777" w:rsidR="0008520E" w:rsidRPr="00D72842" w:rsidRDefault="0008520E" w:rsidP="00C73B48">
      <w:pPr>
        <w:pStyle w:val="FootnoteText"/>
        <w:rPr>
          <w:rFonts w:ascii="Times New Roman" w:hAnsi="Times New Roman" w:cs="Times New Roman"/>
          <w:lang w:val="en-US"/>
        </w:rPr>
      </w:pPr>
      <w:r w:rsidRPr="00D72842">
        <w:rPr>
          <w:rStyle w:val="FootnoteReference"/>
          <w:rFonts w:ascii="Times New Roman" w:hAnsi="Times New Roman" w:cs="Times New Roman"/>
        </w:rPr>
        <w:footnoteRef/>
      </w:r>
      <w:r w:rsidRPr="00D72842">
        <w:rPr>
          <w:rFonts w:ascii="Times New Roman" w:hAnsi="Times New Roman" w:cs="Times New Roman"/>
        </w:rPr>
        <w:t xml:space="preserve"> </w:t>
      </w:r>
      <w:r w:rsidRPr="00D72842">
        <w:rPr>
          <w:rFonts w:ascii="Times New Roman" w:hAnsi="Times New Roman" w:cs="Times New Roman"/>
          <w:lang w:val="en-US"/>
        </w:rPr>
        <w:t xml:space="preserve">The GDP figure comes from Table H1 on the website of the RBA: </w:t>
      </w:r>
      <w:hyperlink r:id="rId24" w:history="1">
        <w:r w:rsidRPr="00D72842">
          <w:rPr>
            <w:rStyle w:val="Hyperlink"/>
            <w:rFonts w:ascii="Times New Roman" w:hAnsi="Times New Roman" w:cs="Times New Roman"/>
            <w:lang w:val="en-US"/>
          </w:rPr>
          <w:t>https://www.rba.gov.au/statistics/</w:t>
        </w:r>
      </w:hyperlink>
      <w:r w:rsidRPr="00D72842">
        <w:rPr>
          <w:rFonts w:ascii="Times New Roman" w:hAnsi="Times New Roman" w:cs="Times New Roman"/>
          <w:lang w:val="en-US"/>
        </w:rPr>
        <w:t>.</w:t>
      </w:r>
    </w:p>
  </w:footnote>
  <w:footnote w:id="31">
    <w:p w14:paraId="42E5E79B" w14:textId="77777777" w:rsidR="00353D25" w:rsidRDefault="00353D25" w:rsidP="00353D25">
      <w:pPr>
        <w:pStyle w:val="FootnoteText"/>
        <w:jc w:val="both"/>
        <w:rPr>
          <w:rFonts w:ascii="Times New Roman" w:hAnsi="Times New Roman" w:cs="Times New Roman"/>
          <w:lang w:val="en-US"/>
        </w:rPr>
      </w:pPr>
      <w:r w:rsidRPr="00F5629F">
        <w:rPr>
          <w:rStyle w:val="FootnoteReference"/>
          <w:rFonts w:ascii="Times New Roman" w:hAnsi="Times New Roman" w:cs="Times New Roman"/>
        </w:rPr>
        <w:footnoteRef/>
      </w:r>
      <w:r w:rsidRPr="00F5629F">
        <w:rPr>
          <w:rFonts w:ascii="Times New Roman" w:hAnsi="Times New Roman" w:cs="Times New Roman"/>
        </w:rPr>
        <w:t xml:space="preserve"> </w:t>
      </w:r>
      <w:r w:rsidRPr="00F5629F">
        <w:rPr>
          <w:rFonts w:ascii="Times New Roman" w:hAnsi="Times New Roman" w:cs="Times New Roman"/>
          <w:lang w:val="en-US"/>
        </w:rPr>
        <w:t xml:space="preserve">I have </w:t>
      </w:r>
      <w:r>
        <w:rPr>
          <w:rFonts w:ascii="Times New Roman" w:hAnsi="Times New Roman" w:cs="Times New Roman"/>
          <w:lang w:val="en-US"/>
        </w:rPr>
        <w:t xml:space="preserve">not </w:t>
      </w:r>
      <w:r w:rsidRPr="00F5629F">
        <w:rPr>
          <w:rFonts w:ascii="Times New Roman" w:hAnsi="Times New Roman" w:cs="Times New Roman"/>
          <w:lang w:val="en-US"/>
        </w:rPr>
        <w:t xml:space="preserve">proffered a death rate for type B countries under extreme lockdown because it is not required in the analysis, but it would be lower than for type </w:t>
      </w:r>
      <w:r w:rsidRPr="00F5629F">
        <w:rPr>
          <w:rFonts w:ascii="Times New Roman" w:hAnsi="Times New Roman" w:cs="Times New Roman"/>
          <w:lang w:val="en-US"/>
        </w:rPr>
        <w:t>A countries.</w:t>
      </w:r>
    </w:p>
    <w:p w14:paraId="08F30D9D" w14:textId="77777777" w:rsidR="00353D25" w:rsidRPr="00F5629F" w:rsidRDefault="00353D25" w:rsidP="00353D25">
      <w:pPr>
        <w:pStyle w:val="FootnoteText"/>
        <w:jc w:val="both"/>
        <w:rPr>
          <w:rFonts w:ascii="Times New Roman" w:hAnsi="Times New Roman" w:cs="Times New Roman"/>
          <w:lang w:val="en-US"/>
        </w:rPr>
      </w:pPr>
    </w:p>
  </w:footnote>
  <w:footnote w:id="32">
    <w:p w14:paraId="6F5DED84" w14:textId="77777777" w:rsidR="00353D25" w:rsidRPr="008A15B9" w:rsidRDefault="00353D25" w:rsidP="00353D25">
      <w:pPr>
        <w:pStyle w:val="FootnoteText"/>
        <w:jc w:val="both"/>
        <w:rPr>
          <w:rFonts w:ascii="Times New Roman" w:hAnsi="Times New Roman" w:cs="Times New Roman"/>
          <w:lang w:val="en-US"/>
        </w:rPr>
      </w:pPr>
      <w:r w:rsidRPr="008A15B9">
        <w:rPr>
          <w:rStyle w:val="FootnoteReference"/>
          <w:rFonts w:ascii="Times New Roman" w:hAnsi="Times New Roman" w:cs="Times New Roman"/>
        </w:rPr>
        <w:footnoteRef/>
      </w:r>
      <w:r w:rsidRPr="008A15B9">
        <w:rPr>
          <w:rFonts w:ascii="Times New Roman" w:hAnsi="Times New Roman" w:cs="Times New Roman"/>
        </w:rPr>
        <w:t xml:space="preserve"> </w:t>
      </w:r>
      <w:r w:rsidRPr="008A15B9">
        <w:rPr>
          <w:rFonts w:ascii="Times New Roman" w:hAnsi="Times New Roman" w:cs="Times New Roman"/>
          <w:lang w:val="en-US"/>
        </w:rPr>
        <w:t xml:space="preserve">See for example </w:t>
      </w:r>
      <w:hyperlink r:id="rId25" w:history="1">
        <w:r w:rsidRPr="008A15B9">
          <w:rPr>
            <w:rStyle w:val="Hyperlink"/>
            <w:rFonts w:ascii="Times New Roman" w:hAnsi="Times New Roman" w:cs="Times New Roman"/>
            <w:lang w:val="en-US"/>
          </w:rPr>
          <w:t>https://thehill.com/opinion/healthcare/489962-what-if-the-sky-is-falling-coronavirus-models-are-simply-wrong</w:t>
        </w:r>
      </w:hyperlink>
      <w:r w:rsidRPr="008A15B9">
        <w:rPr>
          <w:rFonts w:ascii="Times New Roman" w:hAnsi="Times New Roman" w:cs="Times New Roman"/>
          <w:lang w:val="en-US"/>
        </w:rPr>
        <w:t>.</w:t>
      </w:r>
    </w:p>
    <w:p w14:paraId="016DC49D" w14:textId="77777777" w:rsidR="00353D25" w:rsidRPr="00F32B44" w:rsidRDefault="00353D25" w:rsidP="00353D25">
      <w:pPr>
        <w:pStyle w:val="FootnoteText"/>
        <w:rPr>
          <w:lang w:val="en-US"/>
        </w:rPr>
      </w:pP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1210" w14:textId="77777777" w:rsidR="0008520E" w:rsidRDefault="0008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CFE" w14:textId="77777777" w:rsidR="0008520E" w:rsidRDefault="0008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E0FE" w14:textId="77777777" w:rsidR="0008520E" w:rsidRDefault="0008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732"/>
    <w:multiLevelType w:val="hybridMultilevel"/>
    <w:tmpl w:val="340AE0C0"/>
    <w:lvl w:ilvl="0" w:tplc="BF00E5D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2014969"/>
    <w:multiLevelType w:val="hybridMultilevel"/>
    <w:tmpl w:val="A170B732"/>
    <w:lvl w:ilvl="0" w:tplc="717621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D111C6"/>
    <w:multiLevelType w:val="hybridMultilevel"/>
    <w:tmpl w:val="26B2BFCC"/>
    <w:lvl w:ilvl="0" w:tplc="78C8306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1036F4C"/>
    <w:multiLevelType w:val="hybridMultilevel"/>
    <w:tmpl w:val="5CEC5104"/>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E24018"/>
    <w:multiLevelType w:val="hybridMultilevel"/>
    <w:tmpl w:val="FCECB0A0"/>
    <w:lvl w:ilvl="0" w:tplc="38FEBCB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4EC45A0"/>
    <w:multiLevelType w:val="hybridMultilevel"/>
    <w:tmpl w:val="F006C732"/>
    <w:lvl w:ilvl="0" w:tplc="A03812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7F36695"/>
    <w:multiLevelType w:val="hybridMultilevel"/>
    <w:tmpl w:val="A41E8796"/>
    <w:lvl w:ilvl="0" w:tplc="967A2DF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9DE46E0"/>
    <w:multiLevelType w:val="hybridMultilevel"/>
    <w:tmpl w:val="FC340BEA"/>
    <w:lvl w:ilvl="0" w:tplc="EC588FD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2D92D94"/>
    <w:multiLevelType w:val="hybridMultilevel"/>
    <w:tmpl w:val="AF90B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7"/>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9B"/>
    <w:rsid w:val="000002C0"/>
    <w:rsid w:val="000003D8"/>
    <w:rsid w:val="000017CB"/>
    <w:rsid w:val="00001BFC"/>
    <w:rsid w:val="000022AA"/>
    <w:rsid w:val="000028D2"/>
    <w:rsid w:val="000032A2"/>
    <w:rsid w:val="00003651"/>
    <w:rsid w:val="00003B6D"/>
    <w:rsid w:val="00004068"/>
    <w:rsid w:val="000057D9"/>
    <w:rsid w:val="000071E2"/>
    <w:rsid w:val="00007EB1"/>
    <w:rsid w:val="000100E5"/>
    <w:rsid w:val="000102F5"/>
    <w:rsid w:val="00010396"/>
    <w:rsid w:val="00010CD7"/>
    <w:rsid w:val="00010F18"/>
    <w:rsid w:val="00011765"/>
    <w:rsid w:val="00011DA5"/>
    <w:rsid w:val="00014085"/>
    <w:rsid w:val="000144CB"/>
    <w:rsid w:val="00015B59"/>
    <w:rsid w:val="00016108"/>
    <w:rsid w:val="00016C97"/>
    <w:rsid w:val="00016E1D"/>
    <w:rsid w:val="000171DA"/>
    <w:rsid w:val="0002026C"/>
    <w:rsid w:val="0002188C"/>
    <w:rsid w:val="00021F3C"/>
    <w:rsid w:val="00022317"/>
    <w:rsid w:val="00023C1D"/>
    <w:rsid w:val="000242CB"/>
    <w:rsid w:val="00024811"/>
    <w:rsid w:val="00025585"/>
    <w:rsid w:val="00025DBF"/>
    <w:rsid w:val="00026028"/>
    <w:rsid w:val="00027073"/>
    <w:rsid w:val="000277FE"/>
    <w:rsid w:val="00027879"/>
    <w:rsid w:val="00030105"/>
    <w:rsid w:val="000303FC"/>
    <w:rsid w:val="00030B9F"/>
    <w:rsid w:val="00031879"/>
    <w:rsid w:val="000327E5"/>
    <w:rsid w:val="00033833"/>
    <w:rsid w:val="00033DF9"/>
    <w:rsid w:val="00033F04"/>
    <w:rsid w:val="00035EC2"/>
    <w:rsid w:val="0003626C"/>
    <w:rsid w:val="00036A37"/>
    <w:rsid w:val="00037A0C"/>
    <w:rsid w:val="00040391"/>
    <w:rsid w:val="00040D45"/>
    <w:rsid w:val="000418D1"/>
    <w:rsid w:val="000428E9"/>
    <w:rsid w:val="00042D2E"/>
    <w:rsid w:val="00042D6A"/>
    <w:rsid w:val="00043498"/>
    <w:rsid w:val="000436BA"/>
    <w:rsid w:val="00043CA7"/>
    <w:rsid w:val="0004444E"/>
    <w:rsid w:val="00044CCB"/>
    <w:rsid w:val="00045511"/>
    <w:rsid w:val="00045F88"/>
    <w:rsid w:val="00047994"/>
    <w:rsid w:val="00047EBF"/>
    <w:rsid w:val="00050EA3"/>
    <w:rsid w:val="000517E1"/>
    <w:rsid w:val="00051C64"/>
    <w:rsid w:val="00052778"/>
    <w:rsid w:val="00052C4D"/>
    <w:rsid w:val="000535B1"/>
    <w:rsid w:val="00053B21"/>
    <w:rsid w:val="00054A9C"/>
    <w:rsid w:val="000567B9"/>
    <w:rsid w:val="00056B6E"/>
    <w:rsid w:val="000578B5"/>
    <w:rsid w:val="00057AF4"/>
    <w:rsid w:val="00060568"/>
    <w:rsid w:val="000605BA"/>
    <w:rsid w:val="00060CD9"/>
    <w:rsid w:val="0006164B"/>
    <w:rsid w:val="000616A9"/>
    <w:rsid w:val="000621CB"/>
    <w:rsid w:val="00062FEF"/>
    <w:rsid w:val="00063CDC"/>
    <w:rsid w:val="00064025"/>
    <w:rsid w:val="000646C2"/>
    <w:rsid w:val="00064923"/>
    <w:rsid w:val="00065837"/>
    <w:rsid w:val="00065EC7"/>
    <w:rsid w:val="00065EF9"/>
    <w:rsid w:val="000666CB"/>
    <w:rsid w:val="00066826"/>
    <w:rsid w:val="000674E2"/>
    <w:rsid w:val="000705BE"/>
    <w:rsid w:val="000712B8"/>
    <w:rsid w:val="0007169F"/>
    <w:rsid w:val="0007183E"/>
    <w:rsid w:val="000718D5"/>
    <w:rsid w:val="00071EBC"/>
    <w:rsid w:val="00071FB6"/>
    <w:rsid w:val="0007373B"/>
    <w:rsid w:val="0007395F"/>
    <w:rsid w:val="000745DF"/>
    <w:rsid w:val="00074BFA"/>
    <w:rsid w:val="000755B4"/>
    <w:rsid w:val="00075FDF"/>
    <w:rsid w:val="000769B0"/>
    <w:rsid w:val="00076AB2"/>
    <w:rsid w:val="00076D1B"/>
    <w:rsid w:val="00080559"/>
    <w:rsid w:val="00080A48"/>
    <w:rsid w:val="00081374"/>
    <w:rsid w:val="000815C5"/>
    <w:rsid w:val="0008394C"/>
    <w:rsid w:val="00084046"/>
    <w:rsid w:val="0008520E"/>
    <w:rsid w:val="00085777"/>
    <w:rsid w:val="00085A2A"/>
    <w:rsid w:val="00085F70"/>
    <w:rsid w:val="00086EAA"/>
    <w:rsid w:val="00087D0E"/>
    <w:rsid w:val="000901AC"/>
    <w:rsid w:val="0009039B"/>
    <w:rsid w:val="0009069C"/>
    <w:rsid w:val="00091374"/>
    <w:rsid w:val="000917B6"/>
    <w:rsid w:val="0009208A"/>
    <w:rsid w:val="00093186"/>
    <w:rsid w:val="000936F8"/>
    <w:rsid w:val="00093813"/>
    <w:rsid w:val="000945E6"/>
    <w:rsid w:val="00094A06"/>
    <w:rsid w:val="000965E4"/>
    <w:rsid w:val="000966B0"/>
    <w:rsid w:val="000967E2"/>
    <w:rsid w:val="00096877"/>
    <w:rsid w:val="00097347"/>
    <w:rsid w:val="000A06B5"/>
    <w:rsid w:val="000A10C8"/>
    <w:rsid w:val="000A1FA4"/>
    <w:rsid w:val="000A32D9"/>
    <w:rsid w:val="000A3B9F"/>
    <w:rsid w:val="000A3F72"/>
    <w:rsid w:val="000A430E"/>
    <w:rsid w:val="000A4AF6"/>
    <w:rsid w:val="000A7761"/>
    <w:rsid w:val="000A7EAA"/>
    <w:rsid w:val="000B01CC"/>
    <w:rsid w:val="000B0659"/>
    <w:rsid w:val="000B06BD"/>
    <w:rsid w:val="000B0822"/>
    <w:rsid w:val="000B1851"/>
    <w:rsid w:val="000B2E82"/>
    <w:rsid w:val="000B42E6"/>
    <w:rsid w:val="000B42F8"/>
    <w:rsid w:val="000B4307"/>
    <w:rsid w:val="000B558A"/>
    <w:rsid w:val="000B55F2"/>
    <w:rsid w:val="000B62AC"/>
    <w:rsid w:val="000B6F09"/>
    <w:rsid w:val="000B7E7F"/>
    <w:rsid w:val="000C151B"/>
    <w:rsid w:val="000C1EC7"/>
    <w:rsid w:val="000C2188"/>
    <w:rsid w:val="000C219B"/>
    <w:rsid w:val="000C2C3E"/>
    <w:rsid w:val="000C3135"/>
    <w:rsid w:val="000C3405"/>
    <w:rsid w:val="000C38D8"/>
    <w:rsid w:val="000C3958"/>
    <w:rsid w:val="000C4556"/>
    <w:rsid w:val="000C4719"/>
    <w:rsid w:val="000C47C0"/>
    <w:rsid w:val="000C51FD"/>
    <w:rsid w:val="000C5911"/>
    <w:rsid w:val="000C615D"/>
    <w:rsid w:val="000C628F"/>
    <w:rsid w:val="000C64AB"/>
    <w:rsid w:val="000C7A59"/>
    <w:rsid w:val="000C7A8E"/>
    <w:rsid w:val="000D0B8C"/>
    <w:rsid w:val="000D1F5B"/>
    <w:rsid w:val="000D3485"/>
    <w:rsid w:val="000D395E"/>
    <w:rsid w:val="000D4CD4"/>
    <w:rsid w:val="000D4D0A"/>
    <w:rsid w:val="000D4FF4"/>
    <w:rsid w:val="000D6775"/>
    <w:rsid w:val="000E05BC"/>
    <w:rsid w:val="000E10D1"/>
    <w:rsid w:val="000E1E76"/>
    <w:rsid w:val="000E2A5F"/>
    <w:rsid w:val="000E3C5F"/>
    <w:rsid w:val="000E4573"/>
    <w:rsid w:val="000E5CE2"/>
    <w:rsid w:val="000E684C"/>
    <w:rsid w:val="000E7F28"/>
    <w:rsid w:val="000F0389"/>
    <w:rsid w:val="000F0A6A"/>
    <w:rsid w:val="000F0F0B"/>
    <w:rsid w:val="000F155D"/>
    <w:rsid w:val="000F27A9"/>
    <w:rsid w:val="000F342F"/>
    <w:rsid w:val="000F38F7"/>
    <w:rsid w:val="000F3D9B"/>
    <w:rsid w:val="000F3DEF"/>
    <w:rsid w:val="000F4C43"/>
    <w:rsid w:val="000F4E5C"/>
    <w:rsid w:val="000F56F2"/>
    <w:rsid w:val="000F5B5C"/>
    <w:rsid w:val="000F62AB"/>
    <w:rsid w:val="0010038B"/>
    <w:rsid w:val="0010062D"/>
    <w:rsid w:val="001019A2"/>
    <w:rsid w:val="001028C2"/>
    <w:rsid w:val="0010408A"/>
    <w:rsid w:val="001042D6"/>
    <w:rsid w:val="00104643"/>
    <w:rsid w:val="00105F45"/>
    <w:rsid w:val="00106B43"/>
    <w:rsid w:val="0010710B"/>
    <w:rsid w:val="001075E6"/>
    <w:rsid w:val="00110493"/>
    <w:rsid w:val="00111A06"/>
    <w:rsid w:val="00111AC5"/>
    <w:rsid w:val="00111BAA"/>
    <w:rsid w:val="00112FA8"/>
    <w:rsid w:val="00113347"/>
    <w:rsid w:val="00113C0D"/>
    <w:rsid w:val="001140E0"/>
    <w:rsid w:val="00114C3A"/>
    <w:rsid w:val="00115334"/>
    <w:rsid w:val="001155A4"/>
    <w:rsid w:val="00115AB3"/>
    <w:rsid w:val="00115F31"/>
    <w:rsid w:val="00116F29"/>
    <w:rsid w:val="00117682"/>
    <w:rsid w:val="001205C9"/>
    <w:rsid w:val="00120FE2"/>
    <w:rsid w:val="00121A10"/>
    <w:rsid w:val="00122B53"/>
    <w:rsid w:val="00122EFF"/>
    <w:rsid w:val="00122F9D"/>
    <w:rsid w:val="00123B78"/>
    <w:rsid w:val="00123C26"/>
    <w:rsid w:val="00123D01"/>
    <w:rsid w:val="00124B51"/>
    <w:rsid w:val="00125060"/>
    <w:rsid w:val="00125844"/>
    <w:rsid w:val="001262BA"/>
    <w:rsid w:val="00126CC2"/>
    <w:rsid w:val="00126D78"/>
    <w:rsid w:val="00127068"/>
    <w:rsid w:val="0012726F"/>
    <w:rsid w:val="001305F6"/>
    <w:rsid w:val="00130F6D"/>
    <w:rsid w:val="0013118C"/>
    <w:rsid w:val="00132FE7"/>
    <w:rsid w:val="001333AE"/>
    <w:rsid w:val="00133624"/>
    <w:rsid w:val="001338B4"/>
    <w:rsid w:val="001342BB"/>
    <w:rsid w:val="00135ABA"/>
    <w:rsid w:val="00135B10"/>
    <w:rsid w:val="00136910"/>
    <w:rsid w:val="00136F01"/>
    <w:rsid w:val="00137A6B"/>
    <w:rsid w:val="00137DE5"/>
    <w:rsid w:val="00142556"/>
    <w:rsid w:val="001437E9"/>
    <w:rsid w:val="001438E4"/>
    <w:rsid w:val="001442A2"/>
    <w:rsid w:val="0014485A"/>
    <w:rsid w:val="00144904"/>
    <w:rsid w:val="00144DAC"/>
    <w:rsid w:val="001456CA"/>
    <w:rsid w:val="001461CA"/>
    <w:rsid w:val="00147BD2"/>
    <w:rsid w:val="001503D3"/>
    <w:rsid w:val="00150FDF"/>
    <w:rsid w:val="00151058"/>
    <w:rsid w:val="00151076"/>
    <w:rsid w:val="001515D6"/>
    <w:rsid w:val="00151DC8"/>
    <w:rsid w:val="001525EF"/>
    <w:rsid w:val="001526BF"/>
    <w:rsid w:val="00155B85"/>
    <w:rsid w:val="00156B6B"/>
    <w:rsid w:val="001570F3"/>
    <w:rsid w:val="0016058B"/>
    <w:rsid w:val="0016087D"/>
    <w:rsid w:val="00160BFD"/>
    <w:rsid w:val="00161B2A"/>
    <w:rsid w:val="00162111"/>
    <w:rsid w:val="00162FE9"/>
    <w:rsid w:val="00163795"/>
    <w:rsid w:val="001649D3"/>
    <w:rsid w:val="00166CA9"/>
    <w:rsid w:val="001674DD"/>
    <w:rsid w:val="00167A1B"/>
    <w:rsid w:val="00167D91"/>
    <w:rsid w:val="00171453"/>
    <w:rsid w:val="001716E5"/>
    <w:rsid w:val="00171920"/>
    <w:rsid w:val="001726BF"/>
    <w:rsid w:val="0017346C"/>
    <w:rsid w:val="00173A7D"/>
    <w:rsid w:val="00173EBD"/>
    <w:rsid w:val="00174212"/>
    <w:rsid w:val="00174C27"/>
    <w:rsid w:val="00175437"/>
    <w:rsid w:val="001768C4"/>
    <w:rsid w:val="00176D58"/>
    <w:rsid w:val="00176DD8"/>
    <w:rsid w:val="00177662"/>
    <w:rsid w:val="0017781B"/>
    <w:rsid w:val="0017786C"/>
    <w:rsid w:val="00177EC1"/>
    <w:rsid w:val="00181C38"/>
    <w:rsid w:val="001836C7"/>
    <w:rsid w:val="00184D60"/>
    <w:rsid w:val="00186168"/>
    <w:rsid w:val="00187417"/>
    <w:rsid w:val="001903FD"/>
    <w:rsid w:val="00190AA4"/>
    <w:rsid w:val="001914B4"/>
    <w:rsid w:val="00192591"/>
    <w:rsid w:val="00192660"/>
    <w:rsid w:val="001928ED"/>
    <w:rsid w:val="00193288"/>
    <w:rsid w:val="00193535"/>
    <w:rsid w:val="00194008"/>
    <w:rsid w:val="0019498F"/>
    <w:rsid w:val="0019560F"/>
    <w:rsid w:val="00195706"/>
    <w:rsid w:val="001957CB"/>
    <w:rsid w:val="00195A36"/>
    <w:rsid w:val="00196269"/>
    <w:rsid w:val="0019648C"/>
    <w:rsid w:val="00196659"/>
    <w:rsid w:val="00197C01"/>
    <w:rsid w:val="001A016E"/>
    <w:rsid w:val="001A029F"/>
    <w:rsid w:val="001A0B6C"/>
    <w:rsid w:val="001A0C5B"/>
    <w:rsid w:val="001A16FE"/>
    <w:rsid w:val="001A1B0F"/>
    <w:rsid w:val="001A1B55"/>
    <w:rsid w:val="001A1BC4"/>
    <w:rsid w:val="001A2AB6"/>
    <w:rsid w:val="001A2EA0"/>
    <w:rsid w:val="001A3420"/>
    <w:rsid w:val="001A44F1"/>
    <w:rsid w:val="001A4868"/>
    <w:rsid w:val="001A503A"/>
    <w:rsid w:val="001A6B28"/>
    <w:rsid w:val="001A6BC9"/>
    <w:rsid w:val="001A7D2A"/>
    <w:rsid w:val="001B0045"/>
    <w:rsid w:val="001B0F07"/>
    <w:rsid w:val="001B0F2C"/>
    <w:rsid w:val="001B3DE9"/>
    <w:rsid w:val="001B5E87"/>
    <w:rsid w:val="001B61ED"/>
    <w:rsid w:val="001B628E"/>
    <w:rsid w:val="001B6B76"/>
    <w:rsid w:val="001B78B5"/>
    <w:rsid w:val="001B7932"/>
    <w:rsid w:val="001C01CD"/>
    <w:rsid w:val="001C077F"/>
    <w:rsid w:val="001C0DA1"/>
    <w:rsid w:val="001C0EF7"/>
    <w:rsid w:val="001C1391"/>
    <w:rsid w:val="001C17BA"/>
    <w:rsid w:val="001C23DC"/>
    <w:rsid w:val="001C25F4"/>
    <w:rsid w:val="001C2AC2"/>
    <w:rsid w:val="001C329A"/>
    <w:rsid w:val="001C373D"/>
    <w:rsid w:val="001C378E"/>
    <w:rsid w:val="001C3F81"/>
    <w:rsid w:val="001C4A9D"/>
    <w:rsid w:val="001C5A5F"/>
    <w:rsid w:val="001C5E11"/>
    <w:rsid w:val="001C6983"/>
    <w:rsid w:val="001C7198"/>
    <w:rsid w:val="001C73B8"/>
    <w:rsid w:val="001C74F7"/>
    <w:rsid w:val="001D07F4"/>
    <w:rsid w:val="001D0E29"/>
    <w:rsid w:val="001D0FEF"/>
    <w:rsid w:val="001D17CF"/>
    <w:rsid w:val="001D1A4A"/>
    <w:rsid w:val="001D1E12"/>
    <w:rsid w:val="001D1F82"/>
    <w:rsid w:val="001D2B4C"/>
    <w:rsid w:val="001D2DF5"/>
    <w:rsid w:val="001D2F5C"/>
    <w:rsid w:val="001D3038"/>
    <w:rsid w:val="001D33B6"/>
    <w:rsid w:val="001D3A2D"/>
    <w:rsid w:val="001D3F20"/>
    <w:rsid w:val="001D57D8"/>
    <w:rsid w:val="001D601B"/>
    <w:rsid w:val="001D66E3"/>
    <w:rsid w:val="001D6920"/>
    <w:rsid w:val="001D6A77"/>
    <w:rsid w:val="001D7EB5"/>
    <w:rsid w:val="001E06C2"/>
    <w:rsid w:val="001E0C79"/>
    <w:rsid w:val="001E1744"/>
    <w:rsid w:val="001E4050"/>
    <w:rsid w:val="001E4B6B"/>
    <w:rsid w:val="001E4C06"/>
    <w:rsid w:val="001E56AE"/>
    <w:rsid w:val="001E6B92"/>
    <w:rsid w:val="001E710A"/>
    <w:rsid w:val="001E7311"/>
    <w:rsid w:val="001E7F96"/>
    <w:rsid w:val="001F1B7B"/>
    <w:rsid w:val="001F2024"/>
    <w:rsid w:val="001F2388"/>
    <w:rsid w:val="001F3518"/>
    <w:rsid w:val="001F3569"/>
    <w:rsid w:val="001F3C01"/>
    <w:rsid w:val="001F4178"/>
    <w:rsid w:val="001F47ED"/>
    <w:rsid w:val="001F4E72"/>
    <w:rsid w:val="001F647B"/>
    <w:rsid w:val="001F770B"/>
    <w:rsid w:val="001F77C8"/>
    <w:rsid w:val="001F7815"/>
    <w:rsid w:val="001F7D42"/>
    <w:rsid w:val="0020134E"/>
    <w:rsid w:val="0020189B"/>
    <w:rsid w:val="002031BC"/>
    <w:rsid w:val="00204317"/>
    <w:rsid w:val="002051C0"/>
    <w:rsid w:val="002066B2"/>
    <w:rsid w:val="002078E1"/>
    <w:rsid w:val="0021004F"/>
    <w:rsid w:val="0021015E"/>
    <w:rsid w:val="00210222"/>
    <w:rsid w:val="00210317"/>
    <w:rsid w:val="0021078B"/>
    <w:rsid w:val="0021306A"/>
    <w:rsid w:val="00214EB0"/>
    <w:rsid w:val="00214F10"/>
    <w:rsid w:val="002150D3"/>
    <w:rsid w:val="00215751"/>
    <w:rsid w:val="0021576C"/>
    <w:rsid w:val="00215A46"/>
    <w:rsid w:val="00215B4D"/>
    <w:rsid w:val="002168EE"/>
    <w:rsid w:val="00216A67"/>
    <w:rsid w:val="00216E74"/>
    <w:rsid w:val="00217DD4"/>
    <w:rsid w:val="00220445"/>
    <w:rsid w:val="0022064B"/>
    <w:rsid w:val="0022070F"/>
    <w:rsid w:val="002208B3"/>
    <w:rsid w:val="00220D32"/>
    <w:rsid w:val="00220E30"/>
    <w:rsid w:val="00221082"/>
    <w:rsid w:val="002215D0"/>
    <w:rsid w:val="00221812"/>
    <w:rsid w:val="002218C8"/>
    <w:rsid w:val="00221EC1"/>
    <w:rsid w:val="002221C0"/>
    <w:rsid w:val="0022390D"/>
    <w:rsid w:val="00223D3E"/>
    <w:rsid w:val="00225194"/>
    <w:rsid w:val="0022538E"/>
    <w:rsid w:val="00225538"/>
    <w:rsid w:val="00225B89"/>
    <w:rsid w:val="0022760E"/>
    <w:rsid w:val="00227F62"/>
    <w:rsid w:val="00230339"/>
    <w:rsid w:val="00230AD6"/>
    <w:rsid w:val="00231536"/>
    <w:rsid w:val="00232859"/>
    <w:rsid w:val="00232CF9"/>
    <w:rsid w:val="00232F4D"/>
    <w:rsid w:val="0023307D"/>
    <w:rsid w:val="002335CC"/>
    <w:rsid w:val="002338E5"/>
    <w:rsid w:val="00234440"/>
    <w:rsid w:val="00234A20"/>
    <w:rsid w:val="00235318"/>
    <w:rsid w:val="00235A1E"/>
    <w:rsid w:val="00235FB6"/>
    <w:rsid w:val="00236619"/>
    <w:rsid w:val="00236626"/>
    <w:rsid w:val="00236972"/>
    <w:rsid w:val="002369A7"/>
    <w:rsid w:val="00237672"/>
    <w:rsid w:val="002406FC"/>
    <w:rsid w:val="00241C9A"/>
    <w:rsid w:val="00241D74"/>
    <w:rsid w:val="00241EE9"/>
    <w:rsid w:val="00241F80"/>
    <w:rsid w:val="00242C7C"/>
    <w:rsid w:val="00243158"/>
    <w:rsid w:val="00244834"/>
    <w:rsid w:val="00244851"/>
    <w:rsid w:val="002449B2"/>
    <w:rsid w:val="00244D5D"/>
    <w:rsid w:val="00244ED9"/>
    <w:rsid w:val="00245903"/>
    <w:rsid w:val="00246123"/>
    <w:rsid w:val="0024614C"/>
    <w:rsid w:val="00246706"/>
    <w:rsid w:val="00247616"/>
    <w:rsid w:val="00247D76"/>
    <w:rsid w:val="002504CC"/>
    <w:rsid w:val="002505E3"/>
    <w:rsid w:val="00250E0D"/>
    <w:rsid w:val="00251B1A"/>
    <w:rsid w:val="002522D1"/>
    <w:rsid w:val="002524AA"/>
    <w:rsid w:val="00252515"/>
    <w:rsid w:val="00254F6C"/>
    <w:rsid w:val="00255966"/>
    <w:rsid w:val="00255A09"/>
    <w:rsid w:val="00256707"/>
    <w:rsid w:val="00257BE8"/>
    <w:rsid w:val="00260B0D"/>
    <w:rsid w:val="00260E70"/>
    <w:rsid w:val="00260E91"/>
    <w:rsid w:val="002616E7"/>
    <w:rsid w:val="002617BA"/>
    <w:rsid w:val="00261A82"/>
    <w:rsid w:val="00261EF4"/>
    <w:rsid w:val="002624A3"/>
    <w:rsid w:val="00262515"/>
    <w:rsid w:val="00262C84"/>
    <w:rsid w:val="002636F7"/>
    <w:rsid w:val="00264AE4"/>
    <w:rsid w:val="00264D1B"/>
    <w:rsid w:val="00264F74"/>
    <w:rsid w:val="002651D3"/>
    <w:rsid w:val="00265737"/>
    <w:rsid w:val="002665E7"/>
    <w:rsid w:val="00266FB2"/>
    <w:rsid w:val="0026714C"/>
    <w:rsid w:val="002676A1"/>
    <w:rsid w:val="00267FBA"/>
    <w:rsid w:val="00270076"/>
    <w:rsid w:val="00270347"/>
    <w:rsid w:val="0027051B"/>
    <w:rsid w:val="002711AC"/>
    <w:rsid w:val="00271FD8"/>
    <w:rsid w:val="00271FE0"/>
    <w:rsid w:val="00272341"/>
    <w:rsid w:val="0027317B"/>
    <w:rsid w:val="00273199"/>
    <w:rsid w:val="00273960"/>
    <w:rsid w:val="00275B70"/>
    <w:rsid w:val="002770DB"/>
    <w:rsid w:val="00277676"/>
    <w:rsid w:val="00277905"/>
    <w:rsid w:val="00277AD0"/>
    <w:rsid w:val="0028130C"/>
    <w:rsid w:val="0028234A"/>
    <w:rsid w:val="00282D8E"/>
    <w:rsid w:val="002831C0"/>
    <w:rsid w:val="00283A6D"/>
    <w:rsid w:val="00283F0A"/>
    <w:rsid w:val="0028470C"/>
    <w:rsid w:val="00285333"/>
    <w:rsid w:val="00285C26"/>
    <w:rsid w:val="00286619"/>
    <w:rsid w:val="0028731B"/>
    <w:rsid w:val="00287C50"/>
    <w:rsid w:val="00290C98"/>
    <w:rsid w:val="00291313"/>
    <w:rsid w:val="00291891"/>
    <w:rsid w:val="00291954"/>
    <w:rsid w:val="00291FE9"/>
    <w:rsid w:val="00292096"/>
    <w:rsid w:val="00292791"/>
    <w:rsid w:val="00293516"/>
    <w:rsid w:val="00294CE7"/>
    <w:rsid w:val="00294EFC"/>
    <w:rsid w:val="00295229"/>
    <w:rsid w:val="002969C5"/>
    <w:rsid w:val="00296A9C"/>
    <w:rsid w:val="002A0459"/>
    <w:rsid w:val="002A04AB"/>
    <w:rsid w:val="002A0AAD"/>
    <w:rsid w:val="002A160D"/>
    <w:rsid w:val="002A27E9"/>
    <w:rsid w:val="002A4206"/>
    <w:rsid w:val="002A44B7"/>
    <w:rsid w:val="002A52C9"/>
    <w:rsid w:val="002A5C09"/>
    <w:rsid w:val="002A5F4D"/>
    <w:rsid w:val="002A749E"/>
    <w:rsid w:val="002B0290"/>
    <w:rsid w:val="002B0478"/>
    <w:rsid w:val="002B1D88"/>
    <w:rsid w:val="002B2040"/>
    <w:rsid w:val="002B24E3"/>
    <w:rsid w:val="002B3208"/>
    <w:rsid w:val="002B3FC4"/>
    <w:rsid w:val="002B461A"/>
    <w:rsid w:val="002B66E0"/>
    <w:rsid w:val="002B6B21"/>
    <w:rsid w:val="002C09D2"/>
    <w:rsid w:val="002C0A4D"/>
    <w:rsid w:val="002C1857"/>
    <w:rsid w:val="002C1C62"/>
    <w:rsid w:val="002C260D"/>
    <w:rsid w:val="002C2A84"/>
    <w:rsid w:val="002C34F8"/>
    <w:rsid w:val="002C38A2"/>
    <w:rsid w:val="002C4146"/>
    <w:rsid w:val="002C4279"/>
    <w:rsid w:val="002C46DC"/>
    <w:rsid w:val="002C5424"/>
    <w:rsid w:val="002C58A3"/>
    <w:rsid w:val="002C601D"/>
    <w:rsid w:val="002C64F0"/>
    <w:rsid w:val="002C6C77"/>
    <w:rsid w:val="002C7052"/>
    <w:rsid w:val="002C7FBE"/>
    <w:rsid w:val="002D0297"/>
    <w:rsid w:val="002D03E7"/>
    <w:rsid w:val="002D106E"/>
    <w:rsid w:val="002D12E8"/>
    <w:rsid w:val="002D1469"/>
    <w:rsid w:val="002D2625"/>
    <w:rsid w:val="002D2816"/>
    <w:rsid w:val="002D2BCC"/>
    <w:rsid w:val="002D2E5E"/>
    <w:rsid w:val="002D3FFA"/>
    <w:rsid w:val="002D66C4"/>
    <w:rsid w:val="002D6FF7"/>
    <w:rsid w:val="002E00EF"/>
    <w:rsid w:val="002E061F"/>
    <w:rsid w:val="002E0974"/>
    <w:rsid w:val="002E0F26"/>
    <w:rsid w:val="002E2016"/>
    <w:rsid w:val="002E206B"/>
    <w:rsid w:val="002E2295"/>
    <w:rsid w:val="002E2B17"/>
    <w:rsid w:val="002E2B45"/>
    <w:rsid w:val="002E2EF1"/>
    <w:rsid w:val="002E3C8F"/>
    <w:rsid w:val="002E4717"/>
    <w:rsid w:val="002E496D"/>
    <w:rsid w:val="002E4BCB"/>
    <w:rsid w:val="002E50D2"/>
    <w:rsid w:val="002E5A66"/>
    <w:rsid w:val="002E5A84"/>
    <w:rsid w:val="002E5F0A"/>
    <w:rsid w:val="002E6127"/>
    <w:rsid w:val="002E6351"/>
    <w:rsid w:val="002E6A44"/>
    <w:rsid w:val="002E6E73"/>
    <w:rsid w:val="002E747A"/>
    <w:rsid w:val="002E7835"/>
    <w:rsid w:val="002F0588"/>
    <w:rsid w:val="002F0822"/>
    <w:rsid w:val="002F1220"/>
    <w:rsid w:val="002F1FAE"/>
    <w:rsid w:val="002F23E3"/>
    <w:rsid w:val="002F2B02"/>
    <w:rsid w:val="002F3831"/>
    <w:rsid w:val="002F538D"/>
    <w:rsid w:val="002F671A"/>
    <w:rsid w:val="002F6B88"/>
    <w:rsid w:val="0030266B"/>
    <w:rsid w:val="00302C0A"/>
    <w:rsid w:val="00302EC7"/>
    <w:rsid w:val="00302F80"/>
    <w:rsid w:val="003034A7"/>
    <w:rsid w:val="00303839"/>
    <w:rsid w:val="00303DE9"/>
    <w:rsid w:val="00304188"/>
    <w:rsid w:val="003047CF"/>
    <w:rsid w:val="00305A34"/>
    <w:rsid w:val="00306205"/>
    <w:rsid w:val="0030708F"/>
    <w:rsid w:val="003070E8"/>
    <w:rsid w:val="00307E39"/>
    <w:rsid w:val="00310309"/>
    <w:rsid w:val="003105D3"/>
    <w:rsid w:val="00311921"/>
    <w:rsid w:val="00314515"/>
    <w:rsid w:val="00314904"/>
    <w:rsid w:val="003151C7"/>
    <w:rsid w:val="00315DE0"/>
    <w:rsid w:val="0031731F"/>
    <w:rsid w:val="00320232"/>
    <w:rsid w:val="003216DD"/>
    <w:rsid w:val="00321F0F"/>
    <w:rsid w:val="003223B0"/>
    <w:rsid w:val="00323A83"/>
    <w:rsid w:val="00323A94"/>
    <w:rsid w:val="0032558A"/>
    <w:rsid w:val="0032591C"/>
    <w:rsid w:val="00325DDD"/>
    <w:rsid w:val="00325E89"/>
    <w:rsid w:val="003261C8"/>
    <w:rsid w:val="00327231"/>
    <w:rsid w:val="00330DDB"/>
    <w:rsid w:val="0033146C"/>
    <w:rsid w:val="00331711"/>
    <w:rsid w:val="003328D3"/>
    <w:rsid w:val="00332C17"/>
    <w:rsid w:val="0033361D"/>
    <w:rsid w:val="00334005"/>
    <w:rsid w:val="003348A3"/>
    <w:rsid w:val="00335DB8"/>
    <w:rsid w:val="00336A4B"/>
    <w:rsid w:val="0033799C"/>
    <w:rsid w:val="003410AF"/>
    <w:rsid w:val="003419BC"/>
    <w:rsid w:val="00342393"/>
    <w:rsid w:val="003431F5"/>
    <w:rsid w:val="00344A0A"/>
    <w:rsid w:val="00345066"/>
    <w:rsid w:val="00345DD3"/>
    <w:rsid w:val="00345FEA"/>
    <w:rsid w:val="00346255"/>
    <w:rsid w:val="00346790"/>
    <w:rsid w:val="00347255"/>
    <w:rsid w:val="00347634"/>
    <w:rsid w:val="00350109"/>
    <w:rsid w:val="00350D00"/>
    <w:rsid w:val="003524C6"/>
    <w:rsid w:val="00352516"/>
    <w:rsid w:val="00353D25"/>
    <w:rsid w:val="00354E62"/>
    <w:rsid w:val="003558CC"/>
    <w:rsid w:val="00356515"/>
    <w:rsid w:val="00357E21"/>
    <w:rsid w:val="003605D3"/>
    <w:rsid w:val="00360833"/>
    <w:rsid w:val="00360842"/>
    <w:rsid w:val="00360A87"/>
    <w:rsid w:val="00361EA3"/>
    <w:rsid w:val="003626D7"/>
    <w:rsid w:val="00362AC6"/>
    <w:rsid w:val="0036366F"/>
    <w:rsid w:val="003640B6"/>
    <w:rsid w:val="0036522F"/>
    <w:rsid w:val="00365358"/>
    <w:rsid w:val="003656FE"/>
    <w:rsid w:val="00366097"/>
    <w:rsid w:val="00366E9A"/>
    <w:rsid w:val="0037022B"/>
    <w:rsid w:val="00371FC9"/>
    <w:rsid w:val="00372B31"/>
    <w:rsid w:val="003730C6"/>
    <w:rsid w:val="003735C1"/>
    <w:rsid w:val="003739D8"/>
    <w:rsid w:val="00374A2A"/>
    <w:rsid w:val="00374D07"/>
    <w:rsid w:val="003750BA"/>
    <w:rsid w:val="003754EF"/>
    <w:rsid w:val="00377A51"/>
    <w:rsid w:val="00380174"/>
    <w:rsid w:val="003804EA"/>
    <w:rsid w:val="0038181A"/>
    <w:rsid w:val="003819DF"/>
    <w:rsid w:val="003827F2"/>
    <w:rsid w:val="00383250"/>
    <w:rsid w:val="00385805"/>
    <w:rsid w:val="00385AD8"/>
    <w:rsid w:val="00385C10"/>
    <w:rsid w:val="00385C48"/>
    <w:rsid w:val="003861A3"/>
    <w:rsid w:val="003869F3"/>
    <w:rsid w:val="00387F04"/>
    <w:rsid w:val="00391A7F"/>
    <w:rsid w:val="00392737"/>
    <w:rsid w:val="00392750"/>
    <w:rsid w:val="003930BB"/>
    <w:rsid w:val="00394BDF"/>
    <w:rsid w:val="00395D26"/>
    <w:rsid w:val="003960E6"/>
    <w:rsid w:val="003965E8"/>
    <w:rsid w:val="003968DC"/>
    <w:rsid w:val="003972D6"/>
    <w:rsid w:val="00397537"/>
    <w:rsid w:val="00397558"/>
    <w:rsid w:val="003A04FA"/>
    <w:rsid w:val="003A2488"/>
    <w:rsid w:val="003A28F5"/>
    <w:rsid w:val="003A2A3D"/>
    <w:rsid w:val="003A40B4"/>
    <w:rsid w:val="003A433C"/>
    <w:rsid w:val="003A48FB"/>
    <w:rsid w:val="003A4B39"/>
    <w:rsid w:val="003A51E9"/>
    <w:rsid w:val="003A5438"/>
    <w:rsid w:val="003A5E1B"/>
    <w:rsid w:val="003A636E"/>
    <w:rsid w:val="003A7292"/>
    <w:rsid w:val="003A7325"/>
    <w:rsid w:val="003A79A4"/>
    <w:rsid w:val="003B0C3A"/>
    <w:rsid w:val="003B0D3C"/>
    <w:rsid w:val="003B178C"/>
    <w:rsid w:val="003B2239"/>
    <w:rsid w:val="003B2AB9"/>
    <w:rsid w:val="003B3F39"/>
    <w:rsid w:val="003B4272"/>
    <w:rsid w:val="003B515D"/>
    <w:rsid w:val="003B5428"/>
    <w:rsid w:val="003B5D99"/>
    <w:rsid w:val="003B6C77"/>
    <w:rsid w:val="003B6E4C"/>
    <w:rsid w:val="003B758A"/>
    <w:rsid w:val="003C04B4"/>
    <w:rsid w:val="003C1123"/>
    <w:rsid w:val="003C291A"/>
    <w:rsid w:val="003C2B12"/>
    <w:rsid w:val="003C3AF9"/>
    <w:rsid w:val="003C4046"/>
    <w:rsid w:val="003C4429"/>
    <w:rsid w:val="003C4777"/>
    <w:rsid w:val="003C4781"/>
    <w:rsid w:val="003C4BFE"/>
    <w:rsid w:val="003C52D7"/>
    <w:rsid w:val="003C55D7"/>
    <w:rsid w:val="003C5E70"/>
    <w:rsid w:val="003C67E7"/>
    <w:rsid w:val="003C69B8"/>
    <w:rsid w:val="003C70A9"/>
    <w:rsid w:val="003C7E62"/>
    <w:rsid w:val="003C7F3F"/>
    <w:rsid w:val="003D0457"/>
    <w:rsid w:val="003D0CE5"/>
    <w:rsid w:val="003D11BD"/>
    <w:rsid w:val="003D200B"/>
    <w:rsid w:val="003D31B3"/>
    <w:rsid w:val="003D33AA"/>
    <w:rsid w:val="003D3C78"/>
    <w:rsid w:val="003D3D36"/>
    <w:rsid w:val="003D51C3"/>
    <w:rsid w:val="003D5532"/>
    <w:rsid w:val="003D6535"/>
    <w:rsid w:val="003D6D39"/>
    <w:rsid w:val="003D7502"/>
    <w:rsid w:val="003D7B36"/>
    <w:rsid w:val="003E0C04"/>
    <w:rsid w:val="003E0CE3"/>
    <w:rsid w:val="003E0E9D"/>
    <w:rsid w:val="003E0F0C"/>
    <w:rsid w:val="003E11B5"/>
    <w:rsid w:val="003E1C25"/>
    <w:rsid w:val="003E2A37"/>
    <w:rsid w:val="003E2D30"/>
    <w:rsid w:val="003E380C"/>
    <w:rsid w:val="003E384A"/>
    <w:rsid w:val="003E3B2F"/>
    <w:rsid w:val="003E42A7"/>
    <w:rsid w:val="003E4C4F"/>
    <w:rsid w:val="003E4D81"/>
    <w:rsid w:val="003E5430"/>
    <w:rsid w:val="003E59F4"/>
    <w:rsid w:val="003E7555"/>
    <w:rsid w:val="003E780A"/>
    <w:rsid w:val="003F041D"/>
    <w:rsid w:val="003F09A9"/>
    <w:rsid w:val="003F0C81"/>
    <w:rsid w:val="003F0E6D"/>
    <w:rsid w:val="003F1306"/>
    <w:rsid w:val="003F136A"/>
    <w:rsid w:val="003F159A"/>
    <w:rsid w:val="003F229F"/>
    <w:rsid w:val="003F2B21"/>
    <w:rsid w:val="003F34D6"/>
    <w:rsid w:val="003F360F"/>
    <w:rsid w:val="003F3D3A"/>
    <w:rsid w:val="003F4F1E"/>
    <w:rsid w:val="003F59BA"/>
    <w:rsid w:val="003F62EC"/>
    <w:rsid w:val="003F6AAA"/>
    <w:rsid w:val="003F6FE3"/>
    <w:rsid w:val="003F737A"/>
    <w:rsid w:val="00400515"/>
    <w:rsid w:val="00400623"/>
    <w:rsid w:val="00400906"/>
    <w:rsid w:val="00400C01"/>
    <w:rsid w:val="0040196B"/>
    <w:rsid w:val="00403657"/>
    <w:rsid w:val="0040396F"/>
    <w:rsid w:val="00403E51"/>
    <w:rsid w:val="00404651"/>
    <w:rsid w:val="00404A73"/>
    <w:rsid w:val="004051C6"/>
    <w:rsid w:val="00405D3F"/>
    <w:rsid w:val="00405FFF"/>
    <w:rsid w:val="004063A5"/>
    <w:rsid w:val="004069A9"/>
    <w:rsid w:val="0040733E"/>
    <w:rsid w:val="004117BB"/>
    <w:rsid w:val="00411CE2"/>
    <w:rsid w:val="00411D12"/>
    <w:rsid w:val="00411F12"/>
    <w:rsid w:val="00411FB5"/>
    <w:rsid w:val="0041225B"/>
    <w:rsid w:val="00412284"/>
    <w:rsid w:val="00412E22"/>
    <w:rsid w:val="00412F8C"/>
    <w:rsid w:val="00414744"/>
    <w:rsid w:val="00414FE4"/>
    <w:rsid w:val="004153A4"/>
    <w:rsid w:val="00415414"/>
    <w:rsid w:val="00415C47"/>
    <w:rsid w:val="00415EB9"/>
    <w:rsid w:val="00416438"/>
    <w:rsid w:val="004169FF"/>
    <w:rsid w:val="00417038"/>
    <w:rsid w:val="00417986"/>
    <w:rsid w:val="004201EC"/>
    <w:rsid w:val="00420292"/>
    <w:rsid w:val="00420346"/>
    <w:rsid w:val="00421539"/>
    <w:rsid w:val="00422CC0"/>
    <w:rsid w:val="00423F8D"/>
    <w:rsid w:val="004255D0"/>
    <w:rsid w:val="0042573A"/>
    <w:rsid w:val="00426DE2"/>
    <w:rsid w:val="00427CEE"/>
    <w:rsid w:val="0043034D"/>
    <w:rsid w:val="004309DB"/>
    <w:rsid w:val="00431205"/>
    <w:rsid w:val="004315D2"/>
    <w:rsid w:val="00432A14"/>
    <w:rsid w:val="00432A9D"/>
    <w:rsid w:val="00433218"/>
    <w:rsid w:val="00433A83"/>
    <w:rsid w:val="00433F4A"/>
    <w:rsid w:val="004348F5"/>
    <w:rsid w:val="00435106"/>
    <w:rsid w:val="004362C4"/>
    <w:rsid w:val="00436A8F"/>
    <w:rsid w:val="00437AB0"/>
    <w:rsid w:val="00437B53"/>
    <w:rsid w:val="00437D29"/>
    <w:rsid w:val="00440992"/>
    <w:rsid w:val="00440D29"/>
    <w:rsid w:val="00441800"/>
    <w:rsid w:val="00442067"/>
    <w:rsid w:val="00442B3C"/>
    <w:rsid w:val="00444501"/>
    <w:rsid w:val="004445CA"/>
    <w:rsid w:val="0044555D"/>
    <w:rsid w:val="004457A1"/>
    <w:rsid w:val="00445F76"/>
    <w:rsid w:val="004460D7"/>
    <w:rsid w:val="00446448"/>
    <w:rsid w:val="00446C32"/>
    <w:rsid w:val="00450204"/>
    <w:rsid w:val="0045093B"/>
    <w:rsid w:val="00451A13"/>
    <w:rsid w:val="00451FD5"/>
    <w:rsid w:val="0045233E"/>
    <w:rsid w:val="004529AF"/>
    <w:rsid w:val="00453111"/>
    <w:rsid w:val="00453DD9"/>
    <w:rsid w:val="0045412B"/>
    <w:rsid w:val="00454203"/>
    <w:rsid w:val="004545B9"/>
    <w:rsid w:val="004561CB"/>
    <w:rsid w:val="004569E5"/>
    <w:rsid w:val="00457479"/>
    <w:rsid w:val="004575C3"/>
    <w:rsid w:val="0045780C"/>
    <w:rsid w:val="004603AD"/>
    <w:rsid w:val="004609FF"/>
    <w:rsid w:val="0046118D"/>
    <w:rsid w:val="00461961"/>
    <w:rsid w:val="00462698"/>
    <w:rsid w:val="00462A98"/>
    <w:rsid w:val="00462B12"/>
    <w:rsid w:val="00462BD4"/>
    <w:rsid w:val="0046333C"/>
    <w:rsid w:val="00464C22"/>
    <w:rsid w:val="0046570F"/>
    <w:rsid w:val="00466034"/>
    <w:rsid w:val="0046666A"/>
    <w:rsid w:val="004667F1"/>
    <w:rsid w:val="00466B37"/>
    <w:rsid w:val="00466DE6"/>
    <w:rsid w:val="00466FBF"/>
    <w:rsid w:val="004672D2"/>
    <w:rsid w:val="0046770A"/>
    <w:rsid w:val="00467BC0"/>
    <w:rsid w:val="00467DF2"/>
    <w:rsid w:val="00470221"/>
    <w:rsid w:val="004703FD"/>
    <w:rsid w:val="00471327"/>
    <w:rsid w:val="00471376"/>
    <w:rsid w:val="00471800"/>
    <w:rsid w:val="00471A42"/>
    <w:rsid w:val="004726C9"/>
    <w:rsid w:val="00472A2E"/>
    <w:rsid w:val="00472FC4"/>
    <w:rsid w:val="00472FF3"/>
    <w:rsid w:val="00473A0C"/>
    <w:rsid w:val="00473C95"/>
    <w:rsid w:val="004743A6"/>
    <w:rsid w:val="00474CF0"/>
    <w:rsid w:val="0047593B"/>
    <w:rsid w:val="004759B3"/>
    <w:rsid w:val="0047614C"/>
    <w:rsid w:val="004764B4"/>
    <w:rsid w:val="00477DEF"/>
    <w:rsid w:val="004801E9"/>
    <w:rsid w:val="004805AB"/>
    <w:rsid w:val="0048183C"/>
    <w:rsid w:val="00481AD1"/>
    <w:rsid w:val="00481B7E"/>
    <w:rsid w:val="00482C21"/>
    <w:rsid w:val="00482C7C"/>
    <w:rsid w:val="00484383"/>
    <w:rsid w:val="0048571F"/>
    <w:rsid w:val="00485B52"/>
    <w:rsid w:val="004863B3"/>
    <w:rsid w:val="004865F6"/>
    <w:rsid w:val="0048733D"/>
    <w:rsid w:val="00487628"/>
    <w:rsid w:val="00487B29"/>
    <w:rsid w:val="00487CFE"/>
    <w:rsid w:val="00487F4E"/>
    <w:rsid w:val="00487F74"/>
    <w:rsid w:val="00490593"/>
    <w:rsid w:val="004913C2"/>
    <w:rsid w:val="004941FC"/>
    <w:rsid w:val="00494DE3"/>
    <w:rsid w:val="00495518"/>
    <w:rsid w:val="0049587C"/>
    <w:rsid w:val="0049708F"/>
    <w:rsid w:val="0049717F"/>
    <w:rsid w:val="0049794F"/>
    <w:rsid w:val="004A13A7"/>
    <w:rsid w:val="004A1C7C"/>
    <w:rsid w:val="004A2633"/>
    <w:rsid w:val="004A2DCD"/>
    <w:rsid w:val="004A357D"/>
    <w:rsid w:val="004A36E7"/>
    <w:rsid w:val="004A3D98"/>
    <w:rsid w:val="004A3DD2"/>
    <w:rsid w:val="004A43D5"/>
    <w:rsid w:val="004A49E7"/>
    <w:rsid w:val="004A5A1A"/>
    <w:rsid w:val="004A5AC7"/>
    <w:rsid w:val="004A5F10"/>
    <w:rsid w:val="004A6568"/>
    <w:rsid w:val="004A6B3F"/>
    <w:rsid w:val="004A6D03"/>
    <w:rsid w:val="004A6E8F"/>
    <w:rsid w:val="004A7234"/>
    <w:rsid w:val="004A7600"/>
    <w:rsid w:val="004A7809"/>
    <w:rsid w:val="004B0502"/>
    <w:rsid w:val="004B08C4"/>
    <w:rsid w:val="004B1499"/>
    <w:rsid w:val="004B173A"/>
    <w:rsid w:val="004B194B"/>
    <w:rsid w:val="004B2266"/>
    <w:rsid w:val="004B3B0C"/>
    <w:rsid w:val="004B3B46"/>
    <w:rsid w:val="004B51CA"/>
    <w:rsid w:val="004B566A"/>
    <w:rsid w:val="004B6600"/>
    <w:rsid w:val="004B67D0"/>
    <w:rsid w:val="004B752E"/>
    <w:rsid w:val="004C0075"/>
    <w:rsid w:val="004C0DD8"/>
    <w:rsid w:val="004C13A8"/>
    <w:rsid w:val="004C1A33"/>
    <w:rsid w:val="004C1F94"/>
    <w:rsid w:val="004C256F"/>
    <w:rsid w:val="004C2A87"/>
    <w:rsid w:val="004C2E18"/>
    <w:rsid w:val="004C31EC"/>
    <w:rsid w:val="004C36B2"/>
    <w:rsid w:val="004C411F"/>
    <w:rsid w:val="004C4142"/>
    <w:rsid w:val="004C4197"/>
    <w:rsid w:val="004C4EFC"/>
    <w:rsid w:val="004C5FE0"/>
    <w:rsid w:val="004C6AA0"/>
    <w:rsid w:val="004C7A18"/>
    <w:rsid w:val="004D01F6"/>
    <w:rsid w:val="004D1132"/>
    <w:rsid w:val="004D1AE1"/>
    <w:rsid w:val="004D1B3D"/>
    <w:rsid w:val="004D1F27"/>
    <w:rsid w:val="004D207B"/>
    <w:rsid w:val="004D38FA"/>
    <w:rsid w:val="004D4989"/>
    <w:rsid w:val="004D4C0B"/>
    <w:rsid w:val="004D5073"/>
    <w:rsid w:val="004D7473"/>
    <w:rsid w:val="004D7584"/>
    <w:rsid w:val="004D7FC8"/>
    <w:rsid w:val="004E08E7"/>
    <w:rsid w:val="004E0EEA"/>
    <w:rsid w:val="004E0F9D"/>
    <w:rsid w:val="004E10F4"/>
    <w:rsid w:val="004E14AF"/>
    <w:rsid w:val="004E376B"/>
    <w:rsid w:val="004E3B68"/>
    <w:rsid w:val="004E3D61"/>
    <w:rsid w:val="004E3E7E"/>
    <w:rsid w:val="004E494F"/>
    <w:rsid w:val="004E60E2"/>
    <w:rsid w:val="004E619B"/>
    <w:rsid w:val="004E67F3"/>
    <w:rsid w:val="004E692C"/>
    <w:rsid w:val="004E6A95"/>
    <w:rsid w:val="004E6AA6"/>
    <w:rsid w:val="004F149C"/>
    <w:rsid w:val="004F14E2"/>
    <w:rsid w:val="004F19C8"/>
    <w:rsid w:val="004F1F4C"/>
    <w:rsid w:val="004F2B75"/>
    <w:rsid w:val="004F3B52"/>
    <w:rsid w:val="004F3E3D"/>
    <w:rsid w:val="004F4774"/>
    <w:rsid w:val="004F4911"/>
    <w:rsid w:val="004F4B28"/>
    <w:rsid w:val="004F7C54"/>
    <w:rsid w:val="004F7E89"/>
    <w:rsid w:val="00500155"/>
    <w:rsid w:val="00501255"/>
    <w:rsid w:val="00501D4A"/>
    <w:rsid w:val="00503CE0"/>
    <w:rsid w:val="00504EC7"/>
    <w:rsid w:val="0050562A"/>
    <w:rsid w:val="005074BA"/>
    <w:rsid w:val="00507B53"/>
    <w:rsid w:val="00507E8A"/>
    <w:rsid w:val="00507E8F"/>
    <w:rsid w:val="00510654"/>
    <w:rsid w:val="005107B9"/>
    <w:rsid w:val="00510CEA"/>
    <w:rsid w:val="0051189F"/>
    <w:rsid w:val="00511E19"/>
    <w:rsid w:val="00511E4B"/>
    <w:rsid w:val="0051498B"/>
    <w:rsid w:val="00515505"/>
    <w:rsid w:val="005155F6"/>
    <w:rsid w:val="00515D1B"/>
    <w:rsid w:val="005160B2"/>
    <w:rsid w:val="00516211"/>
    <w:rsid w:val="005166A7"/>
    <w:rsid w:val="0051747F"/>
    <w:rsid w:val="00517F85"/>
    <w:rsid w:val="00520100"/>
    <w:rsid w:val="00520170"/>
    <w:rsid w:val="0052039F"/>
    <w:rsid w:val="00521136"/>
    <w:rsid w:val="00521758"/>
    <w:rsid w:val="00522A46"/>
    <w:rsid w:val="00522F68"/>
    <w:rsid w:val="0052397F"/>
    <w:rsid w:val="0052484C"/>
    <w:rsid w:val="00524FDD"/>
    <w:rsid w:val="005257D8"/>
    <w:rsid w:val="00526424"/>
    <w:rsid w:val="00527692"/>
    <w:rsid w:val="005318E5"/>
    <w:rsid w:val="00531F8A"/>
    <w:rsid w:val="005324BA"/>
    <w:rsid w:val="00532D21"/>
    <w:rsid w:val="00535478"/>
    <w:rsid w:val="00535803"/>
    <w:rsid w:val="005365EA"/>
    <w:rsid w:val="0053669E"/>
    <w:rsid w:val="00536731"/>
    <w:rsid w:val="00537084"/>
    <w:rsid w:val="005377AC"/>
    <w:rsid w:val="00540030"/>
    <w:rsid w:val="00540234"/>
    <w:rsid w:val="0054056F"/>
    <w:rsid w:val="0054089D"/>
    <w:rsid w:val="00542403"/>
    <w:rsid w:val="005441F1"/>
    <w:rsid w:val="00545DBD"/>
    <w:rsid w:val="00545E52"/>
    <w:rsid w:val="00546B8C"/>
    <w:rsid w:val="00550024"/>
    <w:rsid w:val="00550572"/>
    <w:rsid w:val="005508A1"/>
    <w:rsid w:val="005511DD"/>
    <w:rsid w:val="00551233"/>
    <w:rsid w:val="00551495"/>
    <w:rsid w:val="00551D56"/>
    <w:rsid w:val="005525CF"/>
    <w:rsid w:val="005529D5"/>
    <w:rsid w:val="00552FD3"/>
    <w:rsid w:val="00553023"/>
    <w:rsid w:val="0055421A"/>
    <w:rsid w:val="00554466"/>
    <w:rsid w:val="005549E2"/>
    <w:rsid w:val="00554B60"/>
    <w:rsid w:val="0055532D"/>
    <w:rsid w:val="00555A74"/>
    <w:rsid w:val="00555B60"/>
    <w:rsid w:val="00556163"/>
    <w:rsid w:val="00556C45"/>
    <w:rsid w:val="00560015"/>
    <w:rsid w:val="00560216"/>
    <w:rsid w:val="0056136C"/>
    <w:rsid w:val="00562187"/>
    <w:rsid w:val="00563310"/>
    <w:rsid w:val="00563762"/>
    <w:rsid w:val="0056491F"/>
    <w:rsid w:val="0056571B"/>
    <w:rsid w:val="0056606C"/>
    <w:rsid w:val="00566A9F"/>
    <w:rsid w:val="0056711F"/>
    <w:rsid w:val="00570669"/>
    <w:rsid w:val="00570CA7"/>
    <w:rsid w:val="00574B10"/>
    <w:rsid w:val="005751BB"/>
    <w:rsid w:val="00576010"/>
    <w:rsid w:val="00576077"/>
    <w:rsid w:val="00576349"/>
    <w:rsid w:val="00576D20"/>
    <w:rsid w:val="005772BA"/>
    <w:rsid w:val="00577EA1"/>
    <w:rsid w:val="00580158"/>
    <w:rsid w:val="005802A8"/>
    <w:rsid w:val="005807FD"/>
    <w:rsid w:val="00580AF7"/>
    <w:rsid w:val="00581011"/>
    <w:rsid w:val="005810FD"/>
    <w:rsid w:val="0058265B"/>
    <w:rsid w:val="0058275E"/>
    <w:rsid w:val="005837AE"/>
    <w:rsid w:val="005837BB"/>
    <w:rsid w:val="0058429A"/>
    <w:rsid w:val="0058465C"/>
    <w:rsid w:val="0058494A"/>
    <w:rsid w:val="005856DD"/>
    <w:rsid w:val="00585B9E"/>
    <w:rsid w:val="0058624B"/>
    <w:rsid w:val="005879EA"/>
    <w:rsid w:val="00587B76"/>
    <w:rsid w:val="00587DE8"/>
    <w:rsid w:val="00590CF7"/>
    <w:rsid w:val="00590DFE"/>
    <w:rsid w:val="005924C2"/>
    <w:rsid w:val="005929AF"/>
    <w:rsid w:val="00592DEB"/>
    <w:rsid w:val="0059421B"/>
    <w:rsid w:val="0059433B"/>
    <w:rsid w:val="0059527B"/>
    <w:rsid w:val="00595334"/>
    <w:rsid w:val="005957BE"/>
    <w:rsid w:val="00595810"/>
    <w:rsid w:val="00595CD5"/>
    <w:rsid w:val="00596E32"/>
    <w:rsid w:val="005A1082"/>
    <w:rsid w:val="005A113A"/>
    <w:rsid w:val="005A1597"/>
    <w:rsid w:val="005A2F50"/>
    <w:rsid w:val="005A3D59"/>
    <w:rsid w:val="005A45AB"/>
    <w:rsid w:val="005A57A9"/>
    <w:rsid w:val="005A5862"/>
    <w:rsid w:val="005A5E53"/>
    <w:rsid w:val="005A61E9"/>
    <w:rsid w:val="005A62A4"/>
    <w:rsid w:val="005A6E59"/>
    <w:rsid w:val="005A7947"/>
    <w:rsid w:val="005A7AF0"/>
    <w:rsid w:val="005B0E4E"/>
    <w:rsid w:val="005B17E3"/>
    <w:rsid w:val="005B1E8B"/>
    <w:rsid w:val="005B2412"/>
    <w:rsid w:val="005B26AE"/>
    <w:rsid w:val="005B281C"/>
    <w:rsid w:val="005B28AD"/>
    <w:rsid w:val="005B3708"/>
    <w:rsid w:val="005B38EB"/>
    <w:rsid w:val="005B3E59"/>
    <w:rsid w:val="005B44F3"/>
    <w:rsid w:val="005B4AD1"/>
    <w:rsid w:val="005B557E"/>
    <w:rsid w:val="005B5662"/>
    <w:rsid w:val="005B5BF4"/>
    <w:rsid w:val="005B5F44"/>
    <w:rsid w:val="005B69A9"/>
    <w:rsid w:val="005B7191"/>
    <w:rsid w:val="005C07EA"/>
    <w:rsid w:val="005C0A27"/>
    <w:rsid w:val="005C1C3E"/>
    <w:rsid w:val="005C210C"/>
    <w:rsid w:val="005C2484"/>
    <w:rsid w:val="005C2E09"/>
    <w:rsid w:val="005C319C"/>
    <w:rsid w:val="005C4587"/>
    <w:rsid w:val="005C4BBA"/>
    <w:rsid w:val="005C50BA"/>
    <w:rsid w:val="005C6E80"/>
    <w:rsid w:val="005C79D9"/>
    <w:rsid w:val="005D0110"/>
    <w:rsid w:val="005D09F0"/>
    <w:rsid w:val="005D11DF"/>
    <w:rsid w:val="005D14D5"/>
    <w:rsid w:val="005D1B32"/>
    <w:rsid w:val="005D1BCC"/>
    <w:rsid w:val="005D27D1"/>
    <w:rsid w:val="005D2BE1"/>
    <w:rsid w:val="005D49D9"/>
    <w:rsid w:val="005D5020"/>
    <w:rsid w:val="005D5BDD"/>
    <w:rsid w:val="005D5EB8"/>
    <w:rsid w:val="005D6140"/>
    <w:rsid w:val="005D6E12"/>
    <w:rsid w:val="005D72F3"/>
    <w:rsid w:val="005E1E74"/>
    <w:rsid w:val="005E3F53"/>
    <w:rsid w:val="005E4237"/>
    <w:rsid w:val="005E4771"/>
    <w:rsid w:val="005E524B"/>
    <w:rsid w:val="005E668E"/>
    <w:rsid w:val="005F09AB"/>
    <w:rsid w:val="005F11E1"/>
    <w:rsid w:val="005F18C2"/>
    <w:rsid w:val="005F1BA1"/>
    <w:rsid w:val="005F2523"/>
    <w:rsid w:val="005F5881"/>
    <w:rsid w:val="005F66E8"/>
    <w:rsid w:val="00600119"/>
    <w:rsid w:val="00601E0B"/>
    <w:rsid w:val="006029BD"/>
    <w:rsid w:val="00602ACC"/>
    <w:rsid w:val="00602C86"/>
    <w:rsid w:val="00603D6F"/>
    <w:rsid w:val="00604823"/>
    <w:rsid w:val="00605196"/>
    <w:rsid w:val="00605281"/>
    <w:rsid w:val="00605D84"/>
    <w:rsid w:val="00605D9F"/>
    <w:rsid w:val="0060689F"/>
    <w:rsid w:val="006069FB"/>
    <w:rsid w:val="00606AA4"/>
    <w:rsid w:val="00606C02"/>
    <w:rsid w:val="006074DD"/>
    <w:rsid w:val="006115D7"/>
    <w:rsid w:val="006118F8"/>
    <w:rsid w:val="006150AA"/>
    <w:rsid w:val="00615890"/>
    <w:rsid w:val="00615E68"/>
    <w:rsid w:val="0061614D"/>
    <w:rsid w:val="00616B24"/>
    <w:rsid w:val="00616B98"/>
    <w:rsid w:val="006175C5"/>
    <w:rsid w:val="006177C3"/>
    <w:rsid w:val="00617FAF"/>
    <w:rsid w:val="006202A8"/>
    <w:rsid w:val="006209B4"/>
    <w:rsid w:val="00620EBE"/>
    <w:rsid w:val="00620F2D"/>
    <w:rsid w:val="00622197"/>
    <w:rsid w:val="0062222F"/>
    <w:rsid w:val="0062325B"/>
    <w:rsid w:val="00623A2C"/>
    <w:rsid w:val="00623CCB"/>
    <w:rsid w:val="00623E81"/>
    <w:rsid w:val="00624484"/>
    <w:rsid w:val="00624886"/>
    <w:rsid w:val="00624A03"/>
    <w:rsid w:val="00625519"/>
    <w:rsid w:val="00626266"/>
    <w:rsid w:val="006263D7"/>
    <w:rsid w:val="006267E7"/>
    <w:rsid w:val="006275B7"/>
    <w:rsid w:val="00627616"/>
    <w:rsid w:val="0063010C"/>
    <w:rsid w:val="0063215D"/>
    <w:rsid w:val="00632BCE"/>
    <w:rsid w:val="00633BCB"/>
    <w:rsid w:val="00633F93"/>
    <w:rsid w:val="006343F7"/>
    <w:rsid w:val="00634FAE"/>
    <w:rsid w:val="00635E2F"/>
    <w:rsid w:val="00636CB5"/>
    <w:rsid w:val="00636EFF"/>
    <w:rsid w:val="00637256"/>
    <w:rsid w:val="006403FC"/>
    <w:rsid w:val="0064066B"/>
    <w:rsid w:val="00641673"/>
    <w:rsid w:val="0064299B"/>
    <w:rsid w:val="00642B10"/>
    <w:rsid w:val="00642DA2"/>
    <w:rsid w:val="006435A5"/>
    <w:rsid w:val="00644B28"/>
    <w:rsid w:val="00644DF6"/>
    <w:rsid w:val="0064573A"/>
    <w:rsid w:val="006457E4"/>
    <w:rsid w:val="00645E9D"/>
    <w:rsid w:val="0064649F"/>
    <w:rsid w:val="006467D0"/>
    <w:rsid w:val="00647245"/>
    <w:rsid w:val="00647CB0"/>
    <w:rsid w:val="00650723"/>
    <w:rsid w:val="00650DD9"/>
    <w:rsid w:val="0065100A"/>
    <w:rsid w:val="00651543"/>
    <w:rsid w:val="00651FC7"/>
    <w:rsid w:val="00652562"/>
    <w:rsid w:val="00653073"/>
    <w:rsid w:val="0065386D"/>
    <w:rsid w:val="00653EA2"/>
    <w:rsid w:val="00654337"/>
    <w:rsid w:val="00654D56"/>
    <w:rsid w:val="00655285"/>
    <w:rsid w:val="00655519"/>
    <w:rsid w:val="00655935"/>
    <w:rsid w:val="0065599A"/>
    <w:rsid w:val="006567C6"/>
    <w:rsid w:val="006573BA"/>
    <w:rsid w:val="00657678"/>
    <w:rsid w:val="006600D7"/>
    <w:rsid w:val="006606B3"/>
    <w:rsid w:val="0066174C"/>
    <w:rsid w:val="00661B21"/>
    <w:rsid w:val="00661D58"/>
    <w:rsid w:val="00661F5B"/>
    <w:rsid w:val="00662181"/>
    <w:rsid w:val="0066299C"/>
    <w:rsid w:val="00662C8F"/>
    <w:rsid w:val="00663373"/>
    <w:rsid w:val="0066417C"/>
    <w:rsid w:val="0066490D"/>
    <w:rsid w:val="006655AB"/>
    <w:rsid w:val="006658D8"/>
    <w:rsid w:val="00665A28"/>
    <w:rsid w:val="00665B6F"/>
    <w:rsid w:val="006667E2"/>
    <w:rsid w:val="00666E3D"/>
    <w:rsid w:val="0066737A"/>
    <w:rsid w:val="00667D9E"/>
    <w:rsid w:val="00670E87"/>
    <w:rsid w:val="00670FEB"/>
    <w:rsid w:val="0067167C"/>
    <w:rsid w:val="00671834"/>
    <w:rsid w:val="006725B7"/>
    <w:rsid w:val="00674581"/>
    <w:rsid w:val="006750FB"/>
    <w:rsid w:val="00676026"/>
    <w:rsid w:val="00676BB6"/>
    <w:rsid w:val="006771F7"/>
    <w:rsid w:val="0068127D"/>
    <w:rsid w:val="00681B25"/>
    <w:rsid w:val="00682F38"/>
    <w:rsid w:val="00683063"/>
    <w:rsid w:val="00683601"/>
    <w:rsid w:val="0068713B"/>
    <w:rsid w:val="00687803"/>
    <w:rsid w:val="00691136"/>
    <w:rsid w:val="00692A2A"/>
    <w:rsid w:val="0069344D"/>
    <w:rsid w:val="00693718"/>
    <w:rsid w:val="006947C3"/>
    <w:rsid w:val="00694DC5"/>
    <w:rsid w:val="006958C7"/>
    <w:rsid w:val="00696A36"/>
    <w:rsid w:val="00697722"/>
    <w:rsid w:val="00697A56"/>
    <w:rsid w:val="00697E23"/>
    <w:rsid w:val="006A17A3"/>
    <w:rsid w:val="006A1F1B"/>
    <w:rsid w:val="006A3405"/>
    <w:rsid w:val="006A3894"/>
    <w:rsid w:val="006A3C09"/>
    <w:rsid w:val="006A3CE2"/>
    <w:rsid w:val="006A3D32"/>
    <w:rsid w:val="006A486E"/>
    <w:rsid w:val="006A4B2A"/>
    <w:rsid w:val="006A4FC3"/>
    <w:rsid w:val="006A58C8"/>
    <w:rsid w:val="006A7791"/>
    <w:rsid w:val="006A791A"/>
    <w:rsid w:val="006B00B5"/>
    <w:rsid w:val="006B016A"/>
    <w:rsid w:val="006B01B6"/>
    <w:rsid w:val="006B05BA"/>
    <w:rsid w:val="006B2F3B"/>
    <w:rsid w:val="006B2F70"/>
    <w:rsid w:val="006B310E"/>
    <w:rsid w:val="006B34C6"/>
    <w:rsid w:val="006B3F43"/>
    <w:rsid w:val="006B6626"/>
    <w:rsid w:val="006B6E5D"/>
    <w:rsid w:val="006B6FF6"/>
    <w:rsid w:val="006B77F3"/>
    <w:rsid w:val="006C0DBA"/>
    <w:rsid w:val="006C25BB"/>
    <w:rsid w:val="006C269C"/>
    <w:rsid w:val="006C4C40"/>
    <w:rsid w:val="006C4D69"/>
    <w:rsid w:val="006C52FE"/>
    <w:rsid w:val="006C5D53"/>
    <w:rsid w:val="006C714F"/>
    <w:rsid w:val="006C7982"/>
    <w:rsid w:val="006D007C"/>
    <w:rsid w:val="006D0602"/>
    <w:rsid w:val="006D1199"/>
    <w:rsid w:val="006D1505"/>
    <w:rsid w:val="006D151B"/>
    <w:rsid w:val="006D1694"/>
    <w:rsid w:val="006D1872"/>
    <w:rsid w:val="006D2278"/>
    <w:rsid w:val="006D22D1"/>
    <w:rsid w:val="006D2D68"/>
    <w:rsid w:val="006D2EFE"/>
    <w:rsid w:val="006D3315"/>
    <w:rsid w:val="006D3970"/>
    <w:rsid w:val="006D547A"/>
    <w:rsid w:val="006D58B5"/>
    <w:rsid w:val="006D5F0A"/>
    <w:rsid w:val="006D5F90"/>
    <w:rsid w:val="006D69FF"/>
    <w:rsid w:val="006D6B49"/>
    <w:rsid w:val="006D75D4"/>
    <w:rsid w:val="006E07F3"/>
    <w:rsid w:val="006E0F3F"/>
    <w:rsid w:val="006E122E"/>
    <w:rsid w:val="006E1286"/>
    <w:rsid w:val="006E1C8C"/>
    <w:rsid w:val="006E2B05"/>
    <w:rsid w:val="006E2E6D"/>
    <w:rsid w:val="006E309A"/>
    <w:rsid w:val="006E34EC"/>
    <w:rsid w:val="006E3923"/>
    <w:rsid w:val="006E4DBA"/>
    <w:rsid w:val="006E5086"/>
    <w:rsid w:val="006E5DCA"/>
    <w:rsid w:val="006E6929"/>
    <w:rsid w:val="006E6F06"/>
    <w:rsid w:val="006E7111"/>
    <w:rsid w:val="006E7120"/>
    <w:rsid w:val="006E74D5"/>
    <w:rsid w:val="006E76A7"/>
    <w:rsid w:val="006F00F7"/>
    <w:rsid w:val="006F1343"/>
    <w:rsid w:val="006F1379"/>
    <w:rsid w:val="006F19ED"/>
    <w:rsid w:val="006F1AF4"/>
    <w:rsid w:val="006F20D5"/>
    <w:rsid w:val="006F225F"/>
    <w:rsid w:val="006F26F5"/>
    <w:rsid w:val="006F28BB"/>
    <w:rsid w:val="006F5593"/>
    <w:rsid w:val="006F6671"/>
    <w:rsid w:val="006F66A0"/>
    <w:rsid w:val="006F686D"/>
    <w:rsid w:val="006F6D2D"/>
    <w:rsid w:val="006F7319"/>
    <w:rsid w:val="0070002A"/>
    <w:rsid w:val="007009CE"/>
    <w:rsid w:val="007018BB"/>
    <w:rsid w:val="0070198F"/>
    <w:rsid w:val="007021B7"/>
    <w:rsid w:val="0070263E"/>
    <w:rsid w:val="00702C5A"/>
    <w:rsid w:val="00703124"/>
    <w:rsid w:val="00703420"/>
    <w:rsid w:val="00703634"/>
    <w:rsid w:val="00706AEE"/>
    <w:rsid w:val="00707CDB"/>
    <w:rsid w:val="00707E59"/>
    <w:rsid w:val="00710B66"/>
    <w:rsid w:val="00711329"/>
    <w:rsid w:val="0071161C"/>
    <w:rsid w:val="0071185E"/>
    <w:rsid w:val="0071348A"/>
    <w:rsid w:val="007139E1"/>
    <w:rsid w:val="00713DF1"/>
    <w:rsid w:val="00715046"/>
    <w:rsid w:val="00717ECF"/>
    <w:rsid w:val="007203C4"/>
    <w:rsid w:val="0072114B"/>
    <w:rsid w:val="0072125B"/>
    <w:rsid w:val="00721334"/>
    <w:rsid w:val="00721E09"/>
    <w:rsid w:val="007220C0"/>
    <w:rsid w:val="007241C5"/>
    <w:rsid w:val="00725494"/>
    <w:rsid w:val="00725513"/>
    <w:rsid w:val="0072607E"/>
    <w:rsid w:val="007267FC"/>
    <w:rsid w:val="00726B2D"/>
    <w:rsid w:val="007278A6"/>
    <w:rsid w:val="007302D3"/>
    <w:rsid w:val="007319FE"/>
    <w:rsid w:val="00731BDE"/>
    <w:rsid w:val="007329DE"/>
    <w:rsid w:val="00732BC9"/>
    <w:rsid w:val="0073438F"/>
    <w:rsid w:val="007348CB"/>
    <w:rsid w:val="00735C7D"/>
    <w:rsid w:val="007362FF"/>
    <w:rsid w:val="00736668"/>
    <w:rsid w:val="007369C0"/>
    <w:rsid w:val="00736B37"/>
    <w:rsid w:val="00737866"/>
    <w:rsid w:val="00737922"/>
    <w:rsid w:val="00737960"/>
    <w:rsid w:val="00741043"/>
    <w:rsid w:val="00741E0C"/>
    <w:rsid w:val="00742314"/>
    <w:rsid w:val="00742570"/>
    <w:rsid w:val="00742CA4"/>
    <w:rsid w:val="00743346"/>
    <w:rsid w:val="007433C4"/>
    <w:rsid w:val="0074432E"/>
    <w:rsid w:val="0074465E"/>
    <w:rsid w:val="00744AB2"/>
    <w:rsid w:val="00744FAE"/>
    <w:rsid w:val="00745868"/>
    <w:rsid w:val="00745F41"/>
    <w:rsid w:val="00746389"/>
    <w:rsid w:val="00747B47"/>
    <w:rsid w:val="00747FC5"/>
    <w:rsid w:val="00750633"/>
    <w:rsid w:val="0075112A"/>
    <w:rsid w:val="00751E50"/>
    <w:rsid w:val="00752DB4"/>
    <w:rsid w:val="0075300F"/>
    <w:rsid w:val="00754835"/>
    <w:rsid w:val="00755A19"/>
    <w:rsid w:val="00756582"/>
    <w:rsid w:val="00756FFF"/>
    <w:rsid w:val="00757BB2"/>
    <w:rsid w:val="00757D95"/>
    <w:rsid w:val="0076047F"/>
    <w:rsid w:val="007609FE"/>
    <w:rsid w:val="007619B3"/>
    <w:rsid w:val="00761BAB"/>
    <w:rsid w:val="00762CE4"/>
    <w:rsid w:val="0076331C"/>
    <w:rsid w:val="007637E0"/>
    <w:rsid w:val="0076442F"/>
    <w:rsid w:val="007646A0"/>
    <w:rsid w:val="00765FF2"/>
    <w:rsid w:val="00766362"/>
    <w:rsid w:val="007674DD"/>
    <w:rsid w:val="00767CA0"/>
    <w:rsid w:val="00770904"/>
    <w:rsid w:val="00770CDF"/>
    <w:rsid w:val="00771266"/>
    <w:rsid w:val="0077183A"/>
    <w:rsid w:val="007726D9"/>
    <w:rsid w:val="007726DF"/>
    <w:rsid w:val="00772FFF"/>
    <w:rsid w:val="007741F1"/>
    <w:rsid w:val="007742A7"/>
    <w:rsid w:val="0077477F"/>
    <w:rsid w:val="0077490E"/>
    <w:rsid w:val="00775175"/>
    <w:rsid w:val="00775B54"/>
    <w:rsid w:val="00776B5C"/>
    <w:rsid w:val="00777401"/>
    <w:rsid w:val="0077756F"/>
    <w:rsid w:val="0078041C"/>
    <w:rsid w:val="00780D7B"/>
    <w:rsid w:val="00781B1D"/>
    <w:rsid w:val="00782347"/>
    <w:rsid w:val="00782ADD"/>
    <w:rsid w:val="00783826"/>
    <w:rsid w:val="00783A98"/>
    <w:rsid w:val="00785027"/>
    <w:rsid w:val="0078572A"/>
    <w:rsid w:val="00787608"/>
    <w:rsid w:val="00787628"/>
    <w:rsid w:val="00787772"/>
    <w:rsid w:val="00790D9D"/>
    <w:rsid w:val="00791AFC"/>
    <w:rsid w:val="00791EA5"/>
    <w:rsid w:val="00793EF9"/>
    <w:rsid w:val="0079416F"/>
    <w:rsid w:val="007943D5"/>
    <w:rsid w:val="00794DA5"/>
    <w:rsid w:val="00794EA4"/>
    <w:rsid w:val="007959DE"/>
    <w:rsid w:val="00795B57"/>
    <w:rsid w:val="00796A58"/>
    <w:rsid w:val="00797107"/>
    <w:rsid w:val="00797C6C"/>
    <w:rsid w:val="00797C88"/>
    <w:rsid w:val="007A095A"/>
    <w:rsid w:val="007A1FC0"/>
    <w:rsid w:val="007A3550"/>
    <w:rsid w:val="007A4412"/>
    <w:rsid w:val="007A638A"/>
    <w:rsid w:val="007A65D9"/>
    <w:rsid w:val="007A6A5C"/>
    <w:rsid w:val="007A74C4"/>
    <w:rsid w:val="007A7A16"/>
    <w:rsid w:val="007A7A8B"/>
    <w:rsid w:val="007B0399"/>
    <w:rsid w:val="007B0A28"/>
    <w:rsid w:val="007B0C65"/>
    <w:rsid w:val="007B243A"/>
    <w:rsid w:val="007B285D"/>
    <w:rsid w:val="007B2E79"/>
    <w:rsid w:val="007B3DA8"/>
    <w:rsid w:val="007B408E"/>
    <w:rsid w:val="007B522F"/>
    <w:rsid w:val="007B60AD"/>
    <w:rsid w:val="007B6FE2"/>
    <w:rsid w:val="007B7CE3"/>
    <w:rsid w:val="007C0022"/>
    <w:rsid w:val="007C033B"/>
    <w:rsid w:val="007C0371"/>
    <w:rsid w:val="007C109B"/>
    <w:rsid w:val="007C128C"/>
    <w:rsid w:val="007C1685"/>
    <w:rsid w:val="007C1C59"/>
    <w:rsid w:val="007C1F2C"/>
    <w:rsid w:val="007C20DB"/>
    <w:rsid w:val="007C2521"/>
    <w:rsid w:val="007C27CD"/>
    <w:rsid w:val="007C2CAB"/>
    <w:rsid w:val="007C2CFE"/>
    <w:rsid w:val="007C30E0"/>
    <w:rsid w:val="007C3127"/>
    <w:rsid w:val="007C32B1"/>
    <w:rsid w:val="007C3463"/>
    <w:rsid w:val="007C3C42"/>
    <w:rsid w:val="007C3C5B"/>
    <w:rsid w:val="007C53F3"/>
    <w:rsid w:val="007C5A10"/>
    <w:rsid w:val="007C5D67"/>
    <w:rsid w:val="007C62AB"/>
    <w:rsid w:val="007C678B"/>
    <w:rsid w:val="007C69DF"/>
    <w:rsid w:val="007C7183"/>
    <w:rsid w:val="007C7363"/>
    <w:rsid w:val="007C7610"/>
    <w:rsid w:val="007C7706"/>
    <w:rsid w:val="007D084A"/>
    <w:rsid w:val="007D09CC"/>
    <w:rsid w:val="007D1897"/>
    <w:rsid w:val="007D1F79"/>
    <w:rsid w:val="007D3853"/>
    <w:rsid w:val="007D396C"/>
    <w:rsid w:val="007D53CC"/>
    <w:rsid w:val="007D5D8D"/>
    <w:rsid w:val="007D65F4"/>
    <w:rsid w:val="007D65F7"/>
    <w:rsid w:val="007D72B8"/>
    <w:rsid w:val="007D734D"/>
    <w:rsid w:val="007D788E"/>
    <w:rsid w:val="007E0786"/>
    <w:rsid w:val="007E1720"/>
    <w:rsid w:val="007E1B89"/>
    <w:rsid w:val="007E3264"/>
    <w:rsid w:val="007E4F5A"/>
    <w:rsid w:val="007E5997"/>
    <w:rsid w:val="007E5B6D"/>
    <w:rsid w:val="007E5D28"/>
    <w:rsid w:val="007E5ECB"/>
    <w:rsid w:val="007E6113"/>
    <w:rsid w:val="007E6121"/>
    <w:rsid w:val="007E6425"/>
    <w:rsid w:val="007E65D8"/>
    <w:rsid w:val="007E6608"/>
    <w:rsid w:val="007E7E60"/>
    <w:rsid w:val="007F0C4D"/>
    <w:rsid w:val="007F112C"/>
    <w:rsid w:val="007F12EB"/>
    <w:rsid w:val="007F165B"/>
    <w:rsid w:val="007F189A"/>
    <w:rsid w:val="007F1ADE"/>
    <w:rsid w:val="007F1C6D"/>
    <w:rsid w:val="007F22DB"/>
    <w:rsid w:val="007F3269"/>
    <w:rsid w:val="007F3DE0"/>
    <w:rsid w:val="007F3F84"/>
    <w:rsid w:val="007F422B"/>
    <w:rsid w:val="007F5D72"/>
    <w:rsid w:val="007F5FAC"/>
    <w:rsid w:val="007F62DD"/>
    <w:rsid w:val="007F74B2"/>
    <w:rsid w:val="00800352"/>
    <w:rsid w:val="00800AFC"/>
    <w:rsid w:val="00800B4F"/>
    <w:rsid w:val="00801BA4"/>
    <w:rsid w:val="00801C2B"/>
    <w:rsid w:val="0080321D"/>
    <w:rsid w:val="00803BAB"/>
    <w:rsid w:val="00803E6A"/>
    <w:rsid w:val="00804186"/>
    <w:rsid w:val="00805FC8"/>
    <w:rsid w:val="0080638E"/>
    <w:rsid w:val="00806D19"/>
    <w:rsid w:val="00807947"/>
    <w:rsid w:val="00810911"/>
    <w:rsid w:val="00810E51"/>
    <w:rsid w:val="008112E1"/>
    <w:rsid w:val="00811443"/>
    <w:rsid w:val="008116FC"/>
    <w:rsid w:val="00812754"/>
    <w:rsid w:val="00813BDD"/>
    <w:rsid w:val="00813EF0"/>
    <w:rsid w:val="00813FF2"/>
    <w:rsid w:val="008146C4"/>
    <w:rsid w:val="00814F26"/>
    <w:rsid w:val="0081524D"/>
    <w:rsid w:val="0081575A"/>
    <w:rsid w:val="0081643E"/>
    <w:rsid w:val="008167A2"/>
    <w:rsid w:val="00816C2D"/>
    <w:rsid w:val="00816C3A"/>
    <w:rsid w:val="00817F0C"/>
    <w:rsid w:val="0082026D"/>
    <w:rsid w:val="0082240B"/>
    <w:rsid w:val="008228BE"/>
    <w:rsid w:val="00822B3E"/>
    <w:rsid w:val="00822FD8"/>
    <w:rsid w:val="008231F0"/>
    <w:rsid w:val="00823577"/>
    <w:rsid w:val="00823729"/>
    <w:rsid w:val="008238D4"/>
    <w:rsid w:val="0082452E"/>
    <w:rsid w:val="00824913"/>
    <w:rsid w:val="00825F0D"/>
    <w:rsid w:val="0082666F"/>
    <w:rsid w:val="00826DDE"/>
    <w:rsid w:val="00826E7B"/>
    <w:rsid w:val="008311DA"/>
    <w:rsid w:val="00831A49"/>
    <w:rsid w:val="00831A89"/>
    <w:rsid w:val="00832A4B"/>
    <w:rsid w:val="008332F1"/>
    <w:rsid w:val="00833665"/>
    <w:rsid w:val="008344C0"/>
    <w:rsid w:val="008349C7"/>
    <w:rsid w:val="00835F17"/>
    <w:rsid w:val="00836867"/>
    <w:rsid w:val="00836882"/>
    <w:rsid w:val="00837A84"/>
    <w:rsid w:val="00840D9A"/>
    <w:rsid w:val="00841628"/>
    <w:rsid w:val="00841E2E"/>
    <w:rsid w:val="0084271A"/>
    <w:rsid w:val="00842BE4"/>
    <w:rsid w:val="00844C8C"/>
    <w:rsid w:val="00845E38"/>
    <w:rsid w:val="00845EE7"/>
    <w:rsid w:val="0084646F"/>
    <w:rsid w:val="00846BEB"/>
    <w:rsid w:val="00846DA0"/>
    <w:rsid w:val="00846FDB"/>
    <w:rsid w:val="00847890"/>
    <w:rsid w:val="0084792E"/>
    <w:rsid w:val="00847937"/>
    <w:rsid w:val="00847DB7"/>
    <w:rsid w:val="00850674"/>
    <w:rsid w:val="008516B2"/>
    <w:rsid w:val="008545F8"/>
    <w:rsid w:val="008553BE"/>
    <w:rsid w:val="00855405"/>
    <w:rsid w:val="008569C0"/>
    <w:rsid w:val="00856A1C"/>
    <w:rsid w:val="00856CF4"/>
    <w:rsid w:val="008575A7"/>
    <w:rsid w:val="0085776F"/>
    <w:rsid w:val="00857D87"/>
    <w:rsid w:val="0086248C"/>
    <w:rsid w:val="00863127"/>
    <w:rsid w:val="00863D5D"/>
    <w:rsid w:val="008665FA"/>
    <w:rsid w:val="008669DD"/>
    <w:rsid w:val="00866D35"/>
    <w:rsid w:val="00867BA9"/>
    <w:rsid w:val="0087007B"/>
    <w:rsid w:val="008702F9"/>
    <w:rsid w:val="00870FC3"/>
    <w:rsid w:val="008714F1"/>
    <w:rsid w:val="008716F0"/>
    <w:rsid w:val="008723E3"/>
    <w:rsid w:val="00873A62"/>
    <w:rsid w:val="00874328"/>
    <w:rsid w:val="008745AD"/>
    <w:rsid w:val="0087484C"/>
    <w:rsid w:val="00874C01"/>
    <w:rsid w:val="008756B0"/>
    <w:rsid w:val="00876D55"/>
    <w:rsid w:val="00880925"/>
    <w:rsid w:val="00880AAF"/>
    <w:rsid w:val="00880CA3"/>
    <w:rsid w:val="00881C4F"/>
    <w:rsid w:val="00882288"/>
    <w:rsid w:val="00882A78"/>
    <w:rsid w:val="00882FCA"/>
    <w:rsid w:val="00883BF7"/>
    <w:rsid w:val="00883F9A"/>
    <w:rsid w:val="00886CF8"/>
    <w:rsid w:val="0088791E"/>
    <w:rsid w:val="0088799B"/>
    <w:rsid w:val="00890692"/>
    <w:rsid w:val="008912FB"/>
    <w:rsid w:val="0089256D"/>
    <w:rsid w:val="0089317C"/>
    <w:rsid w:val="00893248"/>
    <w:rsid w:val="00893843"/>
    <w:rsid w:val="008947BF"/>
    <w:rsid w:val="00894A5F"/>
    <w:rsid w:val="00895254"/>
    <w:rsid w:val="00895929"/>
    <w:rsid w:val="00896C2F"/>
    <w:rsid w:val="00897F30"/>
    <w:rsid w:val="008A09F2"/>
    <w:rsid w:val="008A0F4F"/>
    <w:rsid w:val="008A11DC"/>
    <w:rsid w:val="008A15B9"/>
    <w:rsid w:val="008A1864"/>
    <w:rsid w:val="008A27A3"/>
    <w:rsid w:val="008A2928"/>
    <w:rsid w:val="008A2CBD"/>
    <w:rsid w:val="008A2E7B"/>
    <w:rsid w:val="008A30D3"/>
    <w:rsid w:val="008A313A"/>
    <w:rsid w:val="008A3323"/>
    <w:rsid w:val="008A44F6"/>
    <w:rsid w:val="008A57EE"/>
    <w:rsid w:val="008A60C7"/>
    <w:rsid w:val="008A6113"/>
    <w:rsid w:val="008A6362"/>
    <w:rsid w:val="008A6B70"/>
    <w:rsid w:val="008A7582"/>
    <w:rsid w:val="008B0264"/>
    <w:rsid w:val="008B05B0"/>
    <w:rsid w:val="008B11CE"/>
    <w:rsid w:val="008B194A"/>
    <w:rsid w:val="008B1D01"/>
    <w:rsid w:val="008B29F5"/>
    <w:rsid w:val="008B2FC6"/>
    <w:rsid w:val="008B35F9"/>
    <w:rsid w:val="008B3EA4"/>
    <w:rsid w:val="008B47D9"/>
    <w:rsid w:val="008B5C08"/>
    <w:rsid w:val="008B659B"/>
    <w:rsid w:val="008B7C9F"/>
    <w:rsid w:val="008C0857"/>
    <w:rsid w:val="008C1983"/>
    <w:rsid w:val="008C1E3D"/>
    <w:rsid w:val="008C2129"/>
    <w:rsid w:val="008C2153"/>
    <w:rsid w:val="008C26DF"/>
    <w:rsid w:val="008C28CD"/>
    <w:rsid w:val="008C4B0B"/>
    <w:rsid w:val="008C4D09"/>
    <w:rsid w:val="008C4E3D"/>
    <w:rsid w:val="008C5589"/>
    <w:rsid w:val="008C6E64"/>
    <w:rsid w:val="008C6FC7"/>
    <w:rsid w:val="008C7D5E"/>
    <w:rsid w:val="008D008F"/>
    <w:rsid w:val="008D077F"/>
    <w:rsid w:val="008D092F"/>
    <w:rsid w:val="008D1333"/>
    <w:rsid w:val="008D1FD5"/>
    <w:rsid w:val="008D2026"/>
    <w:rsid w:val="008D31E3"/>
    <w:rsid w:val="008D32D0"/>
    <w:rsid w:val="008D363A"/>
    <w:rsid w:val="008D4240"/>
    <w:rsid w:val="008D5567"/>
    <w:rsid w:val="008D6078"/>
    <w:rsid w:val="008D6911"/>
    <w:rsid w:val="008D6D4C"/>
    <w:rsid w:val="008E0609"/>
    <w:rsid w:val="008E0663"/>
    <w:rsid w:val="008E0AF2"/>
    <w:rsid w:val="008E1EFF"/>
    <w:rsid w:val="008E1F21"/>
    <w:rsid w:val="008E22C6"/>
    <w:rsid w:val="008E25BE"/>
    <w:rsid w:val="008E2D2A"/>
    <w:rsid w:val="008E319D"/>
    <w:rsid w:val="008E3C5C"/>
    <w:rsid w:val="008E4106"/>
    <w:rsid w:val="008E4389"/>
    <w:rsid w:val="008E4417"/>
    <w:rsid w:val="008E6077"/>
    <w:rsid w:val="008E6586"/>
    <w:rsid w:val="008E7439"/>
    <w:rsid w:val="008E7995"/>
    <w:rsid w:val="008E7D8E"/>
    <w:rsid w:val="008F034A"/>
    <w:rsid w:val="008F0D9A"/>
    <w:rsid w:val="008F1446"/>
    <w:rsid w:val="008F1ED7"/>
    <w:rsid w:val="008F275E"/>
    <w:rsid w:val="008F2EAB"/>
    <w:rsid w:val="008F36A8"/>
    <w:rsid w:val="008F4F0A"/>
    <w:rsid w:val="008F4F16"/>
    <w:rsid w:val="008F52EC"/>
    <w:rsid w:val="008F6825"/>
    <w:rsid w:val="008F7E03"/>
    <w:rsid w:val="00900480"/>
    <w:rsid w:val="00901E1F"/>
    <w:rsid w:val="00903AFE"/>
    <w:rsid w:val="00903D82"/>
    <w:rsid w:val="00903DD7"/>
    <w:rsid w:val="00903F44"/>
    <w:rsid w:val="0090474D"/>
    <w:rsid w:val="009053D9"/>
    <w:rsid w:val="00905CF4"/>
    <w:rsid w:val="00906F08"/>
    <w:rsid w:val="00910145"/>
    <w:rsid w:val="00910361"/>
    <w:rsid w:val="009115B2"/>
    <w:rsid w:val="00911C3F"/>
    <w:rsid w:val="00911C4E"/>
    <w:rsid w:val="009123B3"/>
    <w:rsid w:val="009125D9"/>
    <w:rsid w:val="00912D0F"/>
    <w:rsid w:val="0091318A"/>
    <w:rsid w:val="00913318"/>
    <w:rsid w:val="00913D81"/>
    <w:rsid w:val="00914101"/>
    <w:rsid w:val="00914BBF"/>
    <w:rsid w:val="0091649F"/>
    <w:rsid w:val="009164F9"/>
    <w:rsid w:val="009171DB"/>
    <w:rsid w:val="00917B9F"/>
    <w:rsid w:val="00920F1C"/>
    <w:rsid w:val="009229BB"/>
    <w:rsid w:val="00922F19"/>
    <w:rsid w:val="00923249"/>
    <w:rsid w:val="00923C1D"/>
    <w:rsid w:val="00923CC3"/>
    <w:rsid w:val="00924A50"/>
    <w:rsid w:val="009250A3"/>
    <w:rsid w:val="009255E9"/>
    <w:rsid w:val="0092620F"/>
    <w:rsid w:val="009262AD"/>
    <w:rsid w:val="0092740F"/>
    <w:rsid w:val="00927417"/>
    <w:rsid w:val="00927BFF"/>
    <w:rsid w:val="009312C0"/>
    <w:rsid w:val="009315EE"/>
    <w:rsid w:val="00931D6B"/>
    <w:rsid w:val="009327F2"/>
    <w:rsid w:val="00932AB6"/>
    <w:rsid w:val="00932ED3"/>
    <w:rsid w:val="00932F5A"/>
    <w:rsid w:val="009333AB"/>
    <w:rsid w:val="009338D6"/>
    <w:rsid w:val="0093416A"/>
    <w:rsid w:val="0093706D"/>
    <w:rsid w:val="009371DC"/>
    <w:rsid w:val="00937B2F"/>
    <w:rsid w:val="00937B9C"/>
    <w:rsid w:val="00940698"/>
    <w:rsid w:val="00941E13"/>
    <w:rsid w:val="00941E9B"/>
    <w:rsid w:val="0094250F"/>
    <w:rsid w:val="009437EC"/>
    <w:rsid w:val="0094421C"/>
    <w:rsid w:val="009442E8"/>
    <w:rsid w:val="0094470D"/>
    <w:rsid w:val="00944D36"/>
    <w:rsid w:val="00945278"/>
    <w:rsid w:val="009455BA"/>
    <w:rsid w:val="00946EF9"/>
    <w:rsid w:val="00947A76"/>
    <w:rsid w:val="00947E14"/>
    <w:rsid w:val="00947EA7"/>
    <w:rsid w:val="00950300"/>
    <w:rsid w:val="00950A1B"/>
    <w:rsid w:val="00951034"/>
    <w:rsid w:val="00951248"/>
    <w:rsid w:val="00951A3C"/>
    <w:rsid w:val="009526DD"/>
    <w:rsid w:val="00952881"/>
    <w:rsid w:val="00952C20"/>
    <w:rsid w:val="00952E42"/>
    <w:rsid w:val="00953700"/>
    <w:rsid w:val="00954B80"/>
    <w:rsid w:val="00954D3F"/>
    <w:rsid w:val="009557B6"/>
    <w:rsid w:val="00956359"/>
    <w:rsid w:val="0095656C"/>
    <w:rsid w:val="00956685"/>
    <w:rsid w:val="0095696F"/>
    <w:rsid w:val="00957442"/>
    <w:rsid w:val="009574BC"/>
    <w:rsid w:val="00960376"/>
    <w:rsid w:val="00960534"/>
    <w:rsid w:val="00961436"/>
    <w:rsid w:val="00961E59"/>
    <w:rsid w:val="0096247B"/>
    <w:rsid w:val="00963A72"/>
    <w:rsid w:val="00964714"/>
    <w:rsid w:val="009648A8"/>
    <w:rsid w:val="00964EA6"/>
    <w:rsid w:val="009650BA"/>
    <w:rsid w:val="0096522A"/>
    <w:rsid w:val="00965382"/>
    <w:rsid w:val="00965733"/>
    <w:rsid w:val="009659D1"/>
    <w:rsid w:val="00965ACC"/>
    <w:rsid w:val="00966C37"/>
    <w:rsid w:val="00966DB6"/>
    <w:rsid w:val="00967A9F"/>
    <w:rsid w:val="00967F95"/>
    <w:rsid w:val="009713FB"/>
    <w:rsid w:val="00973421"/>
    <w:rsid w:val="00973544"/>
    <w:rsid w:val="00973644"/>
    <w:rsid w:val="00974208"/>
    <w:rsid w:val="00975684"/>
    <w:rsid w:val="00975953"/>
    <w:rsid w:val="009763D6"/>
    <w:rsid w:val="00976749"/>
    <w:rsid w:val="009767D6"/>
    <w:rsid w:val="00977CEA"/>
    <w:rsid w:val="009808E8"/>
    <w:rsid w:val="00981268"/>
    <w:rsid w:val="009813ED"/>
    <w:rsid w:val="009815CF"/>
    <w:rsid w:val="00981E2D"/>
    <w:rsid w:val="00982870"/>
    <w:rsid w:val="00983083"/>
    <w:rsid w:val="009835C2"/>
    <w:rsid w:val="00983740"/>
    <w:rsid w:val="009841E0"/>
    <w:rsid w:val="0098468B"/>
    <w:rsid w:val="00985D34"/>
    <w:rsid w:val="00985D50"/>
    <w:rsid w:val="009865AE"/>
    <w:rsid w:val="00986957"/>
    <w:rsid w:val="00986F17"/>
    <w:rsid w:val="0098733F"/>
    <w:rsid w:val="00987EF4"/>
    <w:rsid w:val="009901FB"/>
    <w:rsid w:val="00990213"/>
    <w:rsid w:val="009905E8"/>
    <w:rsid w:val="00990F10"/>
    <w:rsid w:val="00991EB7"/>
    <w:rsid w:val="009928F6"/>
    <w:rsid w:val="00993806"/>
    <w:rsid w:val="00993FE6"/>
    <w:rsid w:val="009946FF"/>
    <w:rsid w:val="00995296"/>
    <w:rsid w:val="00995EB2"/>
    <w:rsid w:val="00997608"/>
    <w:rsid w:val="009A066A"/>
    <w:rsid w:val="009A0E34"/>
    <w:rsid w:val="009A133F"/>
    <w:rsid w:val="009A180F"/>
    <w:rsid w:val="009A36AD"/>
    <w:rsid w:val="009A4036"/>
    <w:rsid w:val="009A41F9"/>
    <w:rsid w:val="009A5033"/>
    <w:rsid w:val="009A55BC"/>
    <w:rsid w:val="009A57D3"/>
    <w:rsid w:val="009A6612"/>
    <w:rsid w:val="009A739A"/>
    <w:rsid w:val="009A7AAE"/>
    <w:rsid w:val="009A7B7D"/>
    <w:rsid w:val="009A7F9F"/>
    <w:rsid w:val="009B0279"/>
    <w:rsid w:val="009B10AD"/>
    <w:rsid w:val="009B3432"/>
    <w:rsid w:val="009B3E1C"/>
    <w:rsid w:val="009B4223"/>
    <w:rsid w:val="009B424E"/>
    <w:rsid w:val="009B5C9B"/>
    <w:rsid w:val="009B7962"/>
    <w:rsid w:val="009B7D37"/>
    <w:rsid w:val="009C0E72"/>
    <w:rsid w:val="009C2168"/>
    <w:rsid w:val="009C2B25"/>
    <w:rsid w:val="009C3E91"/>
    <w:rsid w:val="009C4DB9"/>
    <w:rsid w:val="009C4DF6"/>
    <w:rsid w:val="009C4E57"/>
    <w:rsid w:val="009C58B2"/>
    <w:rsid w:val="009C61CD"/>
    <w:rsid w:val="009C68E3"/>
    <w:rsid w:val="009C71E2"/>
    <w:rsid w:val="009C78DB"/>
    <w:rsid w:val="009D05B6"/>
    <w:rsid w:val="009D0711"/>
    <w:rsid w:val="009D0C53"/>
    <w:rsid w:val="009D0D7F"/>
    <w:rsid w:val="009D1CBB"/>
    <w:rsid w:val="009D25A2"/>
    <w:rsid w:val="009D3A1F"/>
    <w:rsid w:val="009D418B"/>
    <w:rsid w:val="009D5380"/>
    <w:rsid w:val="009D6075"/>
    <w:rsid w:val="009D634C"/>
    <w:rsid w:val="009E189D"/>
    <w:rsid w:val="009E23AE"/>
    <w:rsid w:val="009E3466"/>
    <w:rsid w:val="009E3670"/>
    <w:rsid w:val="009E3B79"/>
    <w:rsid w:val="009E4A6D"/>
    <w:rsid w:val="009E4E7C"/>
    <w:rsid w:val="009E5431"/>
    <w:rsid w:val="009E626C"/>
    <w:rsid w:val="009E7A09"/>
    <w:rsid w:val="009E7F51"/>
    <w:rsid w:val="009F06C4"/>
    <w:rsid w:val="009F0A89"/>
    <w:rsid w:val="009F0F53"/>
    <w:rsid w:val="009F1B39"/>
    <w:rsid w:val="009F40B5"/>
    <w:rsid w:val="009F5594"/>
    <w:rsid w:val="009F628B"/>
    <w:rsid w:val="009F6862"/>
    <w:rsid w:val="009F6DBE"/>
    <w:rsid w:val="009F7240"/>
    <w:rsid w:val="009F770F"/>
    <w:rsid w:val="009F7C12"/>
    <w:rsid w:val="00A01844"/>
    <w:rsid w:val="00A018B1"/>
    <w:rsid w:val="00A01BFE"/>
    <w:rsid w:val="00A01F46"/>
    <w:rsid w:val="00A01FB1"/>
    <w:rsid w:val="00A0260F"/>
    <w:rsid w:val="00A0275E"/>
    <w:rsid w:val="00A03588"/>
    <w:rsid w:val="00A03ABB"/>
    <w:rsid w:val="00A04A4A"/>
    <w:rsid w:val="00A050DC"/>
    <w:rsid w:val="00A05478"/>
    <w:rsid w:val="00A10225"/>
    <w:rsid w:val="00A1047E"/>
    <w:rsid w:val="00A116D9"/>
    <w:rsid w:val="00A125B8"/>
    <w:rsid w:val="00A13F01"/>
    <w:rsid w:val="00A1400C"/>
    <w:rsid w:val="00A14A90"/>
    <w:rsid w:val="00A1690B"/>
    <w:rsid w:val="00A17CC0"/>
    <w:rsid w:val="00A201DE"/>
    <w:rsid w:val="00A21976"/>
    <w:rsid w:val="00A23006"/>
    <w:rsid w:val="00A2306B"/>
    <w:rsid w:val="00A23090"/>
    <w:rsid w:val="00A23889"/>
    <w:rsid w:val="00A24B25"/>
    <w:rsid w:val="00A24ECF"/>
    <w:rsid w:val="00A25508"/>
    <w:rsid w:val="00A2594F"/>
    <w:rsid w:val="00A26233"/>
    <w:rsid w:val="00A26F78"/>
    <w:rsid w:val="00A2727A"/>
    <w:rsid w:val="00A27B40"/>
    <w:rsid w:val="00A27ED9"/>
    <w:rsid w:val="00A308B5"/>
    <w:rsid w:val="00A31552"/>
    <w:rsid w:val="00A31595"/>
    <w:rsid w:val="00A317B6"/>
    <w:rsid w:val="00A31B3E"/>
    <w:rsid w:val="00A31D92"/>
    <w:rsid w:val="00A3343B"/>
    <w:rsid w:val="00A34266"/>
    <w:rsid w:val="00A349D8"/>
    <w:rsid w:val="00A353C6"/>
    <w:rsid w:val="00A366F0"/>
    <w:rsid w:val="00A3720D"/>
    <w:rsid w:val="00A403CB"/>
    <w:rsid w:val="00A40A7B"/>
    <w:rsid w:val="00A40B3B"/>
    <w:rsid w:val="00A40BB6"/>
    <w:rsid w:val="00A420EB"/>
    <w:rsid w:val="00A42D44"/>
    <w:rsid w:val="00A4308A"/>
    <w:rsid w:val="00A43736"/>
    <w:rsid w:val="00A44906"/>
    <w:rsid w:val="00A44F21"/>
    <w:rsid w:val="00A45246"/>
    <w:rsid w:val="00A4535C"/>
    <w:rsid w:val="00A45E24"/>
    <w:rsid w:val="00A460F8"/>
    <w:rsid w:val="00A46412"/>
    <w:rsid w:val="00A46A4C"/>
    <w:rsid w:val="00A46B41"/>
    <w:rsid w:val="00A471E7"/>
    <w:rsid w:val="00A47220"/>
    <w:rsid w:val="00A50799"/>
    <w:rsid w:val="00A510CE"/>
    <w:rsid w:val="00A51406"/>
    <w:rsid w:val="00A515F2"/>
    <w:rsid w:val="00A51AD0"/>
    <w:rsid w:val="00A51EED"/>
    <w:rsid w:val="00A53F1E"/>
    <w:rsid w:val="00A54C6B"/>
    <w:rsid w:val="00A54CC7"/>
    <w:rsid w:val="00A550F4"/>
    <w:rsid w:val="00A5553D"/>
    <w:rsid w:val="00A56667"/>
    <w:rsid w:val="00A5707A"/>
    <w:rsid w:val="00A57B80"/>
    <w:rsid w:val="00A601FE"/>
    <w:rsid w:val="00A6230F"/>
    <w:rsid w:val="00A6424E"/>
    <w:rsid w:val="00A64EA5"/>
    <w:rsid w:val="00A65DD3"/>
    <w:rsid w:val="00A66303"/>
    <w:rsid w:val="00A66A0A"/>
    <w:rsid w:val="00A67EA2"/>
    <w:rsid w:val="00A70496"/>
    <w:rsid w:val="00A705EA"/>
    <w:rsid w:val="00A708D2"/>
    <w:rsid w:val="00A70C04"/>
    <w:rsid w:val="00A71688"/>
    <w:rsid w:val="00A718BD"/>
    <w:rsid w:val="00A71A32"/>
    <w:rsid w:val="00A72260"/>
    <w:rsid w:val="00A72DE5"/>
    <w:rsid w:val="00A73077"/>
    <w:rsid w:val="00A73AE2"/>
    <w:rsid w:val="00A73D07"/>
    <w:rsid w:val="00A747FC"/>
    <w:rsid w:val="00A74FF3"/>
    <w:rsid w:val="00A7555B"/>
    <w:rsid w:val="00A76034"/>
    <w:rsid w:val="00A76677"/>
    <w:rsid w:val="00A76C41"/>
    <w:rsid w:val="00A77773"/>
    <w:rsid w:val="00A77DCD"/>
    <w:rsid w:val="00A80408"/>
    <w:rsid w:val="00A809CE"/>
    <w:rsid w:val="00A80CC1"/>
    <w:rsid w:val="00A8153E"/>
    <w:rsid w:val="00A81DDC"/>
    <w:rsid w:val="00A823C9"/>
    <w:rsid w:val="00A8285C"/>
    <w:rsid w:val="00A82D60"/>
    <w:rsid w:val="00A83A10"/>
    <w:rsid w:val="00A83CCC"/>
    <w:rsid w:val="00A84095"/>
    <w:rsid w:val="00A841FE"/>
    <w:rsid w:val="00A84987"/>
    <w:rsid w:val="00A86017"/>
    <w:rsid w:val="00A866CF"/>
    <w:rsid w:val="00A86A51"/>
    <w:rsid w:val="00A8718C"/>
    <w:rsid w:val="00A87A80"/>
    <w:rsid w:val="00A87B80"/>
    <w:rsid w:val="00A90E9A"/>
    <w:rsid w:val="00A9117C"/>
    <w:rsid w:val="00A917B6"/>
    <w:rsid w:val="00A91BB3"/>
    <w:rsid w:val="00A94D85"/>
    <w:rsid w:val="00A95D13"/>
    <w:rsid w:val="00AA0339"/>
    <w:rsid w:val="00AA05B8"/>
    <w:rsid w:val="00AA103F"/>
    <w:rsid w:val="00AA43C7"/>
    <w:rsid w:val="00AA48EF"/>
    <w:rsid w:val="00AA4A04"/>
    <w:rsid w:val="00AA4BB8"/>
    <w:rsid w:val="00AA4D2D"/>
    <w:rsid w:val="00AA579E"/>
    <w:rsid w:val="00AA580F"/>
    <w:rsid w:val="00AA59EB"/>
    <w:rsid w:val="00AA63ED"/>
    <w:rsid w:val="00AA6F68"/>
    <w:rsid w:val="00AA6FE5"/>
    <w:rsid w:val="00AA7847"/>
    <w:rsid w:val="00AA7DFF"/>
    <w:rsid w:val="00AB13CF"/>
    <w:rsid w:val="00AB238B"/>
    <w:rsid w:val="00AB2E08"/>
    <w:rsid w:val="00AB37A2"/>
    <w:rsid w:val="00AB4E40"/>
    <w:rsid w:val="00AB5A5A"/>
    <w:rsid w:val="00AB5E4E"/>
    <w:rsid w:val="00AB6883"/>
    <w:rsid w:val="00AB69B9"/>
    <w:rsid w:val="00AB79EA"/>
    <w:rsid w:val="00AB7D4E"/>
    <w:rsid w:val="00AC0167"/>
    <w:rsid w:val="00AC0864"/>
    <w:rsid w:val="00AC0B1E"/>
    <w:rsid w:val="00AC0FF3"/>
    <w:rsid w:val="00AC15F4"/>
    <w:rsid w:val="00AC1950"/>
    <w:rsid w:val="00AC20D6"/>
    <w:rsid w:val="00AC2C97"/>
    <w:rsid w:val="00AC6DDB"/>
    <w:rsid w:val="00AC7475"/>
    <w:rsid w:val="00AC7ADE"/>
    <w:rsid w:val="00AD012D"/>
    <w:rsid w:val="00AD0F70"/>
    <w:rsid w:val="00AD0FCC"/>
    <w:rsid w:val="00AD168F"/>
    <w:rsid w:val="00AD1691"/>
    <w:rsid w:val="00AD282E"/>
    <w:rsid w:val="00AD2A35"/>
    <w:rsid w:val="00AD2E0F"/>
    <w:rsid w:val="00AD311B"/>
    <w:rsid w:val="00AD3361"/>
    <w:rsid w:val="00AD3BC1"/>
    <w:rsid w:val="00AD3F84"/>
    <w:rsid w:val="00AD49C4"/>
    <w:rsid w:val="00AD4E81"/>
    <w:rsid w:val="00AD543E"/>
    <w:rsid w:val="00AD6CDF"/>
    <w:rsid w:val="00AD71C8"/>
    <w:rsid w:val="00AD71FF"/>
    <w:rsid w:val="00AD7351"/>
    <w:rsid w:val="00AE04B6"/>
    <w:rsid w:val="00AE082E"/>
    <w:rsid w:val="00AE12F3"/>
    <w:rsid w:val="00AE285E"/>
    <w:rsid w:val="00AE3BFE"/>
    <w:rsid w:val="00AE3C4D"/>
    <w:rsid w:val="00AE41F7"/>
    <w:rsid w:val="00AE5A29"/>
    <w:rsid w:val="00AE5F0F"/>
    <w:rsid w:val="00AE6132"/>
    <w:rsid w:val="00AE6198"/>
    <w:rsid w:val="00AE6AE9"/>
    <w:rsid w:val="00AE6E99"/>
    <w:rsid w:val="00AE7C7A"/>
    <w:rsid w:val="00AF0AFE"/>
    <w:rsid w:val="00AF185D"/>
    <w:rsid w:val="00AF188B"/>
    <w:rsid w:val="00AF1DB4"/>
    <w:rsid w:val="00AF2597"/>
    <w:rsid w:val="00AF261D"/>
    <w:rsid w:val="00AF26DF"/>
    <w:rsid w:val="00AF307F"/>
    <w:rsid w:val="00AF34E1"/>
    <w:rsid w:val="00AF35CA"/>
    <w:rsid w:val="00AF4A5A"/>
    <w:rsid w:val="00AF53F4"/>
    <w:rsid w:val="00AF575B"/>
    <w:rsid w:val="00AF5A7B"/>
    <w:rsid w:val="00AF5F69"/>
    <w:rsid w:val="00AF5FA9"/>
    <w:rsid w:val="00AF6384"/>
    <w:rsid w:val="00AF6543"/>
    <w:rsid w:val="00AF78AD"/>
    <w:rsid w:val="00AF7FB1"/>
    <w:rsid w:val="00B00049"/>
    <w:rsid w:val="00B008D0"/>
    <w:rsid w:val="00B00EF7"/>
    <w:rsid w:val="00B0106D"/>
    <w:rsid w:val="00B01179"/>
    <w:rsid w:val="00B022F5"/>
    <w:rsid w:val="00B04276"/>
    <w:rsid w:val="00B04849"/>
    <w:rsid w:val="00B04AE1"/>
    <w:rsid w:val="00B072C7"/>
    <w:rsid w:val="00B102F0"/>
    <w:rsid w:val="00B10806"/>
    <w:rsid w:val="00B10966"/>
    <w:rsid w:val="00B10BA3"/>
    <w:rsid w:val="00B10F02"/>
    <w:rsid w:val="00B116D8"/>
    <w:rsid w:val="00B11BAF"/>
    <w:rsid w:val="00B124B1"/>
    <w:rsid w:val="00B12AD4"/>
    <w:rsid w:val="00B12B73"/>
    <w:rsid w:val="00B14C34"/>
    <w:rsid w:val="00B15009"/>
    <w:rsid w:val="00B163C4"/>
    <w:rsid w:val="00B16773"/>
    <w:rsid w:val="00B17681"/>
    <w:rsid w:val="00B179CA"/>
    <w:rsid w:val="00B17B3A"/>
    <w:rsid w:val="00B2014C"/>
    <w:rsid w:val="00B21270"/>
    <w:rsid w:val="00B212EF"/>
    <w:rsid w:val="00B21B28"/>
    <w:rsid w:val="00B22116"/>
    <w:rsid w:val="00B224B5"/>
    <w:rsid w:val="00B22754"/>
    <w:rsid w:val="00B227E2"/>
    <w:rsid w:val="00B23778"/>
    <w:rsid w:val="00B24036"/>
    <w:rsid w:val="00B24A3B"/>
    <w:rsid w:val="00B264FF"/>
    <w:rsid w:val="00B275B4"/>
    <w:rsid w:val="00B27890"/>
    <w:rsid w:val="00B27A07"/>
    <w:rsid w:val="00B27B50"/>
    <w:rsid w:val="00B308EE"/>
    <w:rsid w:val="00B310D8"/>
    <w:rsid w:val="00B31B1C"/>
    <w:rsid w:val="00B3213F"/>
    <w:rsid w:val="00B32A6F"/>
    <w:rsid w:val="00B3531E"/>
    <w:rsid w:val="00B35E5D"/>
    <w:rsid w:val="00B3708E"/>
    <w:rsid w:val="00B41A5B"/>
    <w:rsid w:val="00B452F6"/>
    <w:rsid w:val="00B45C17"/>
    <w:rsid w:val="00B46142"/>
    <w:rsid w:val="00B506C0"/>
    <w:rsid w:val="00B50888"/>
    <w:rsid w:val="00B50E86"/>
    <w:rsid w:val="00B52B4A"/>
    <w:rsid w:val="00B54521"/>
    <w:rsid w:val="00B54AAB"/>
    <w:rsid w:val="00B5550B"/>
    <w:rsid w:val="00B560D5"/>
    <w:rsid w:val="00B564B0"/>
    <w:rsid w:val="00B56BEF"/>
    <w:rsid w:val="00B570BC"/>
    <w:rsid w:val="00B61F7E"/>
    <w:rsid w:val="00B62227"/>
    <w:rsid w:val="00B62D23"/>
    <w:rsid w:val="00B64A1F"/>
    <w:rsid w:val="00B64B95"/>
    <w:rsid w:val="00B656D3"/>
    <w:rsid w:val="00B6592F"/>
    <w:rsid w:val="00B660EE"/>
    <w:rsid w:val="00B66B7A"/>
    <w:rsid w:val="00B673D8"/>
    <w:rsid w:val="00B67D31"/>
    <w:rsid w:val="00B7024F"/>
    <w:rsid w:val="00B70424"/>
    <w:rsid w:val="00B70A86"/>
    <w:rsid w:val="00B710F6"/>
    <w:rsid w:val="00B71FF0"/>
    <w:rsid w:val="00B72481"/>
    <w:rsid w:val="00B727D3"/>
    <w:rsid w:val="00B72824"/>
    <w:rsid w:val="00B73867"/>
    <w:rsid w:val="00B73DEA"/>
    <w:rsid w:val="00B7418D"/>
    <w:rsid w:val="00B745F4"/>
    <w:rsid w:val="00B752F4"/>
    <w:rsid w:val="00B75537"/>
    <w:rsid w:val="00B765F3"/>
    <w:rsid w:val="00B7666C"/>
    <w:rsid w:val="00B76BC7"/>
    <w:rsid w:val="00B77028"/>
    <w:rsid w:val="00B80370"/>
    <w:rsid w:val="00B80D42"/>
    <w:rsid w:val="00B8184F"/>
    <w:rsid w:val="00B81E83"/>
    <w:rsid w:val="00B824CD"/>
    <w:rsid w:val="00B829B9"/>
    <w:rsid w:val="00B82FA1"/>
    <w:rsid w:val="00B848A8"/>
    <w:rsid w:val="00B84BB5"/>
    <w:rsid w:val="00B84E95"/>
    <w:rsid w:val="00B85CA9"/>
    <w:rsid w:val="00B865A8"/>
    <w:rsid w:val="00B87CB3"/>
    <w:rsid w:val="00B90594"/>
    <w:rsid w:val="00B90970"/>
    <w:rsid w:val="00B9122B"/>
    <w:rsid w:val="00B91766"/>
    <w:rsid w:val="00B91B13"/>
    <w:rsid w:val="00B94A62"/>
    <w:rsid w:val="00B94F8C"/>
    <w:rsid w:val="00B967DA"/>
    <w:rsid w:val="00B97325"/>
    <w:rsid w:val="00B97966"/>
    <w:rsid w:val="00B97C8C"/>
    <w:rsid w:val="00B97FF1"/>
    <w:rsid w:val="00BA0DD1"/>
    <w:rsid w:val="00BA208F"/>
    <w:rsid w:val="00BA3F30"/>
    <w:rsid w:val="00BA52F6"/>
    <w:rsid w:val="00BA5BF2"/>
    <w:rsid w:val="00BA666A"/>
    <w:rsid w:val="00BB059A"/>
    <w:rsid w:val="00BB15CF"/>
    <w:rsid w:val="00BB19A2"/>
    <w:rsid w:val="00BB1D20"/>
    <w:rsid w:val="00BB2A51"/>
    <w:rsid w:val="00BB3DC1"/>
    <w:rsid w:val="00BB413C"/>
    <w:rsid w:val="00BB45DD"/>
    <w:rsid w:val="00BB46BC"/>
    <w:rsid w:val="00BB4E1E"/>
    <w:rsid w:val="00BB53B4"/>
    <w:rsid w:val="00BB7117"/>
    <w:rsid w:val="00BB7349"/>
    <w:rsid w:val="00BB7D9C"/>
    <w:rsid w:val="00BC07EC"/>
    <w:rsid w:val="00BC23B4"/>
    <w:rsid w:val="00BC2643"/>
    <w:rsid w:val="00BC2A72"/>
    <w:rsid w:val="00BC2EE8"/>
    <w:rsid w:val="00BC32B7"/>
    <w:rsid w:val="00BC4816"/>
    <w:rsid w:val="00BC4DF7"/>
    <w:rsid w:val="00BC511A"/>
    <w:rsid w:val="00BC5140"/>
    <w:rsid w:val="00BC5160"/>
    <w:rsid w:val="00BC51D0"/>
    <w:rsid w:val="00BC58C3"/>
    <w:rsid w:val="00BC6A45"/>
    <w:rsid w:val="00BD0703"/>
    <w:rsid w:val="00BD618C"/>
    <w:rsid w:val="00BD6322"/>
    <w:rsid w:val="00BD693D"/>
    <w:rsid w:val="00BE112E"/>
    <w:rsid w:val="00BE18D1"/>
    <w:rsid w:val="00BE2315"/>
    <w:rsid w:val="00BE2484"/>
    <w:rsid w:val="00BE322E"/>
    <w:rsid w:val="00BE3D6D"/>
    <w:rsid w:val="00BE3FBA"/>
    <w:rsid w:val="00BE4822"/>
    <w:rsid w:val="00BE5A84"/>
    <w:rsid w:val="00BE5D1D"/>
    <w:rsid w:val="00BE6C50"/>
    <w:rsid w:val="00BE7A8E"/>
    <w:rsid w:val="00BE7CBA"/>
    <w:rsid w:val="00BF15DF"/>
    <w:rsid w:val="00BF3420"/>
    <w:rsid w:val="00BF34F0"/>
    <w:rsid w:val="00BF3D4B"/>
    <w:rsid w:val="00BF3F1C"/>
    <w:rsid w:val="00BF46D6"/>
    <w:rsid w:val="00BF473D"/>
    <w:rsid w:val="00BF6EF6"/>
    <w:rsid w:val="00BF71EA"/>
    <w:rsid w:val="00C003C8"/>
    <w:rsid w:val="00C01224"/>
    <w:rsid w:val="00C0254F"/>
    <w:rsid w:val="00C0298A"/>
    <w:rsid w:val="00C03587"/>
    <w:rsid w:val="00C045D9"/>
    <w:rsid w:val="00C0496A"/>
    <w:rsid w:val="00C04D79"/>
    <w:rsid w:val="00C05BE5"/>
    <w:rsid w:val="00C06B72"/>
    <w:rsid w:val="00C06BDB"/>
    <w:rsid w:val="00C06F9E"/>
    <w:rsid w:val="00C07D41"/>
    <w:rsid w:val="00C07DAB"/>
    <w:rsid w:val="00C10889"/>
    <w:rsid w:val="00C113D4"/>
    <w:rsid w:val="00C114AD"/>
    <w:rsid w:val="00C1262F"/>
    <w:rsid w:val="00C12670"/>
    <w:rsid w:val="00C12766"/>
    <w:rsid w:val="00C1321D"/>
    <w:rsid w:val="00C1363D"/>
    <w:rsid w:val="00C14044"/>
    <w:rsid w:val="00C15679"/>
    <w:rsid w:val="00C16123"/>
    <w:rsid w:val="00C174E7"/>
    <w:rsid w:val="00C1751D"/>
    <w:rsid w:val="00C177E2"/>
    <w:rsid w:val="00C20127"/>
    <w:rsid w:val="00C20279"/>
    <w:rsid w:val="00C21CEB"/>
    <w:rsid w:val="00C21FF9"/>
    <w:rsid w:val="00C228EC"/>
    <w:rsid w:val="00C2307C"/>
    <w:rsid w:val="00C23674"/>
    <w:rsid w:val="00C2398D"/>
    <w:rsid w:val="00C24256"/>
    <w:rsid w:val="00C24288"/>
    <w:rsid w:val="00C25BDC"/>
    <w:rsid w:val="00C26C0D"/>
    <w:rsid w:val="00C27F87"/>
    <w:rsid w:val="00C30599"/>
    <w:rsid w:val="00C305A1"/>
    <w:rsid w:val="00C30DCF"/>
    <w:rsid w:val="00C31052"/>
    <w:rsid w:val="00C311DE"/>
    <w:rsid w:val="00C3148F"/>
    <w:rsid w:val="00C32BEE"/>
    <w:rsid w:val="00C3311D"/>
    <w:rsid w:val="00C339BE"/>
    <w:rsid w:val="00C342A5"/>
    <w:rsid w:val="00C3467F"/>
    <w:rsid w:val="00C348B3"/>
    <w:rsid w:val="00C36252"/>
    <w:rsid w:val="00C3646E"/>
    <w:rsid w:val="00C366B0"/>
    <w:rsid w:val="00C37141"/>
    <w:rsid w:val="00C404CA"/>
    <w:rsid w:val="00C40B97"/>
    <w:rsid w:val="00C41972"/>
    <w:rsid w:val="00C433A2"/>
    <w:rsid w:val="00C436F3"/>
    <w:rsid w:val="00C442EE"/>
    <w:rsid w:val="00C44685"/>
    <w:rsid w:val="00C4499B"/>
    <w:rsid w:val="00C4633C"/>
    <w:rsid w:val="00C46E6D"/>
    <w:rsid w:val="00C47275"/>
    <w:rsid w:val="00C5054E"/>
    <w:rsid w:val="00C50CD0"/>
    <w:rsid w:val="00C50D56"/>
    <w:rsid w:val="00C512DC"/>
    <w:rsid w:val="00C52B71"/>
    <w:rsid w:val="00C52C53"/>
    <w:rsid w:val="00C53307"/>
    <w:rsid w:val="00C539D9"/>
    <w:rsid w:val="00C541D6"/>
    <w:rsid w:val="00C54515"/>
    <w:rsid w:val="00C54848"/>
    <w:rsid w:val="00C5535E"/>
    <w:rsid w:val="00C55639"/>
    <w:rsid w:val="00C55BF1"/>
    <w:rsid w:val="00C55ECD"/>
    <w:rsid w:val="00C56280"/>
    <w:rsid w:val="00C5718E"/>
    <w:rsid w:val="00C572A4"/>
    <w:rsid w:val="00C5733A"/>
    <w:rsid w:val="00C57519"/>
    <w:rsid w:val="00C57BA3"/>
    <w:rsid w:val="00C607D6"/>
    <w:rsid w:val="00C60F31"/>
    <w:rsid w:val="00C61163"/>
    <w:rsid w:val="00C614F9"/>
    <w:rsid w:val="00C621B5"/>
    <w:rsid w:val="00C625C3"/>
    <w:rsid w:val="00C62A0A"/>
    <w:rsid w:val="00C6328C"/>
    <w:rsid w:val="00C63809"/>
    <w:rsid w:val="00C63B1D"/>
    <w:rsid w:val="00C64180"/>
    <w:rsid w:val="00C67893"/>
    <w:rsid w:val="00C700C3"/>
    <w:rsid w:val="00C704B1"/>
    <w:rsid w:val="00C70C78"/>
    <w:rsid w:val="00C70EEA"/>
    <w:rsid w:val="00C739DB"/>
    <w:rsid w:val="00C73B48"/>
    <w:rsid w:val="00C76AF2"/>
    <w:rsid w:val="00C8093C"/>
    <w:rsid w:val="00C80BDE"/>
    <w:rsid w:val="00C81030"/>
    <w:rsid w:val="00C812FE"/>
    <w:rsid w:val="00C81561"/>
    <w:rsid w:val="00C81576"/>
    <w:rsid w:val="00C81A7D"/>
    <w:rsid w:val="00C82249"/>
    <w:rsid w:val="00C83148"/>
    <w:rsid w:val="00C83317"/>
    <w:rsid w:val="00C83EFB"/>
    <w:rsid w:val="00C83F8E"/>
    <w:rsid w:val="00C843BD"/>
    <w:rsid w:val="00C84D18"/>
    <w:rsid w:val="00C851BC"/>
    <w:rsid w:val="00C86206"/>
    <w:rsid w:val="00C865B6"/>
    <w:rsid w:val="00C86618"/>
    <w:rsid w:val="00C86D66"/>
    <w:rsid w:val="00C873FA"/>
    <w:rsid w:val="00C879CC"/>
    <w:rsid w:val="00C90885"/>
    <w:rsid w:val="00C90AB1"/>
    <w:rsid w:val="00C91379"/>
    <w:rsid w:val="00C91510"/>
    <w:rsid w:val="00C9171C"/>
    <w:rsid w:val="00C91840"/>
    <w:rsid w:val="00C922B5"/>
    <w:rsid w:val="00C92664"/>
    <w:rsid w:val="00C926DD"/>
    <w:rsid w:val="00C9378C"/>
    <w:rsid w:val="00C938FB"/>
    <w:rsid w:val="00C93A21"/>
    <w:rsid w:val="00C93B04"/>
    <w:rsid w:val="00C943EE"/>
    <w:rsid w:val="00C95DCD"/>
    <w:rsid w:val="00C96FA1"/>
    <w:rsid w:val="00CA0E5C"/>
    <w:rsid w:val="00CA0FE4"/>
    <w:rsid w:val="00CA1068"/>
    <w:rsid w:val="00CA10B6"/>
    <w:rsid w:val="00CA1464"/>
    <w:rsid w:val="00CA197D"/>
    <w:rsid w:val="00CA2C4E"/>
    <w:rsid w:val="00CA2CE2"/>
    <w:rsid w:val="00CA2D5D"/>
    <w:rsid w:val="00CA33C6"/>
    <w:rsid w:val="00CA359E"/>
    <w:rsid w:val="00CA44EB"/>
    <w:rsid w:val="00CA46DA"/>
    <w:rsid w:val="00CA557C"/>
    <w:rsid w:val="00CA6B4E"/>
    <w:rsid w:val="00CA6E45"/>
    <w:rsid w:val="00CA7783"/>
    <w:rsid w:val="00CB0CEC"/>
    <w:rsid w:val="00CB101F"/>
    <w:rsid w:val="00CB1F42"/>
    <w:rsid w:val="00CB204F"/>
    <w:rsid w:val="00CB20E5"/>
    <w:rsid w:val="00CB285D"/>
    <w:rsid w:val="00CB3689"/>
    <w:rsid w:val="00CB3829"/>
    <w:rsid w:val="00CB44B4"/>
    <w:rsid w:val="00CB49B5"/>
    <w:rsid w:val="00CB58F0"/>
    <w:rsid w:val="00CB6233"/>
    <w:rsid w:val="00CB783F"/>
    <w:rsid w:val="00CB7BCC"/>
    <w:rsid w:val="00CB7C2A"/>
    <w:rsid w:val="00CC031F"/>
    <w:rsid w:val="00CC178B"/>
    <w:rsid w:val="00CC1BB8"/>
    <w:rsid w:val="00CC1E2D"/>
    <w:rsid w:val="00CC275F"/>
    <w:rsid w:val="00CC3448"/>
    <w:rsid w:val="00CC47BD"/>
    <w:rsid w:val="00CC542B"/>
    <w:rsid w:val="00CD1AAA"/>
    <w:rsid w:val="00CD1CF0"/>
    <w:rsid w:val="00CD26B7"/>
    <w:rsid w:val="00CD315F"/>
    <w:rsid w:val="00CD347A"/>
    <w:rsid w:val="00CD36B1"/>
    <w:rsid w:val="00CD3970"/>
    <w:rsid w:val="00CD4244"/>
    <w:rsid w:val="00CD4BD9"/>
    <w:rsid w:val="00CD54C4"/>
    <w:rsid w:val="00CD5D67"/>
    <w:rsid w:val="00CD5EDF"/>
    <w:rsid w:val="00CD63C5"/>
    <w:rsid w:val="00CD6712"/>
    <w:rsid w:val="00CD6EC4"/>
    <w:rsid w:val="00CD7049"/>
    <w:rsid w:val="00CD726B"/>
    <w:rsid w:val="00CD768C"/>
    <w:rsid w:val="00CE009D"/>
    <w:rsid w:val="00CE0FDD"/>
    <w:rsid w:val="00CE19FA"/>
    <w:rsid w:val="00CE226D"/>
    <w:rsid w:val="00CE42A6"/>
    <w:rsid w:val="00CE448D"/>
    <w:rsid w:val="00CE4BC2"/>
    <w:rsid w:val="00CE56A3"/>
    <w:rsid w:val="00CE6BC0"/>
    <w:rsid w:val="00CE6CB4"/>
    <w:rsid w:val="00CE7CC3"/>
    <w:rsid w:val="00CF1179"/>
    <w:rsid w:val="00CF3C26"/>
    <w:rsid w:val="00CF4493"/>
    <w:rsid w:val="00CF5245"/>
    <w:rsid w:val="00CF5ACC"/>
    <w:rsid w:val="00CF5EF9"/>
    <w:rsid w:val="00CF6CC3"/>
    <w:rsid w:val="00D00166"/>
    <w:rsid w:val="00D00CB0"/>
    <w:rsid w:val="00D010CE"/>
    <w:rsid w:val="00D02A1E"/>
    <w:rsid w:val="00D03040"/>
    <w:rsid w:val="00D042D8"/>
    <w:rsid w:val="00D046A6"/>
    <w:rsid w:val="00D04763"/>
    <w:rsid w:val="00D04D60"/>
    <w:rsid w:val="00D04EB0"/>
    <w:rsid w:val="00D056C2"/>
    <w:rsid w:val="00D05EAB"/>
    <w:rsid w:val="00D06660"/>
    <w:rsid w:val="00D06E06"/>
    <w:rsid w:val="00D06EAA"/>
    <w:rsid w:val="00D07182"/>
    <w:rsid w:val="00D07A61"/>
    <w:rsid w:val="00D10256"/>
    <w:rsid w:val="00D103C0"/>
    <w:rsid w:val="00D11F2E"/>
    <w:rsid w:val="00D12734"/>
    <w:rsid w:val="00D13683"/>
    <w:rsid w:val="00D13BB8"/>
    <w:rsid w:val="00D14112"/>
    <w:rsid w:val="00D144F1"/>
    <w:rsid w:val="00D1503D"/>
    <w:rsid w:val="00D150BE"/>
    <w:rsid w:val="00D15A5E"/>
    <w:rsid w:val="00D15E85"/>
    <w:rsid w:val="00D174A6"/>
    <w:rsid w:val="00D1750A"/>
    <w:rsid w:val="00D17605"/>
    <w:rsid w:val="00D176C2"/>
    <w:rsid w:val="00D17B8E"/>
    <w:rsid w:val="00D17F9F"/>
    <w:rsid w:val="00D208F8"/>
    <w:rsid w:val="00D213AB"/>
    <w:rsid w:val="00D21E30"/>
    <w:rsid w:val="00D22571"/>
    <w:rsid w:val="00D22CC2"/>
    <w:rsid w:val="00D22CF1"/>
    <w:rsid w:val="00D22EE0"/>
    <w:rsid w:val="00D22EEE"/>
    <w:rsid w:val="00D237AC"/>
    <w:rsid w:val="00D23C4C"/>
    <w:rsid w:val="00D2450C"/>
    <w:rsid w:val="00D24A91"/>
    <w:rsid w:val="00D25C72"/>
    <w:rsid w:val="00D264E8"/>
    <w:rsid w:val="00D27B8F"/>
    <w:rsid w:val="00D31CFC"/>
    <w:rsid w:val="00D3249D"/>
    <w:rsid w:val="00D328AA"/>
    <w:rsid w:val="00D3301A"/>
    <w:rsid w:val="00D359F7"/>
    <w:rsid w:val="00D35E1F"/>
    <w:rsid w:val="00D36669"/>
    <w:rsid w:val="00D374D0"/>
    <w:rsid w:val="00D37509"/>
    <w:rsid w:val="00D37616"/>
    <w:rsid w:val="00D37830"/>
    <w:rsid w:val="00D40652"/>
    <w:rsid w:val="00D40978"/>
    <w:rsid w:val="00D42298"/>
    <w:rsid w:val="00D429AB"/>
    <w:rsid w:val="00D42E9D"/>
    <w:rsid w:val="00D43277"/>
    <w:rsid w:val="00D4352C"/>
    <w:rsid w:val="00D439BF"/>
    <w:rsid w:val="00D44AAF"/>
    <w:rsid w:val="00D44F93"/>
    <w:rsid w:val="00D45916"/>
    <w:rsid w:val="00D46EB9"/>
    <w:rsid w:val="00D47E1A"/>
    <w:rsid w:val="00D5029C"/>
    <w:rsid w:val="00D51BAB"/>
    <w:rsid w:val="00D520CC"/>
    <w:rsid w:val="00D52D33"/>
    <w:rsid w:val="00D53583"/>
    <w:rsid w:val="00D536A8"/>
    <w:rsid w:val="00D538EA"/>
    <w:rsid w:val="00D55993"/>
    <w:rsid w:val="00D56421"/>
    <w:rsid w:val="00D57698"/>
    <w:rsid w:val="00D5777E"/>
    <w:rsid w:val="00D57794"/>
    <w:rsid w:val="00D60435"/>
    <w:rsid w:val="00D60562"/>
    <w:rsid w:val="00D60817"/>
    <w:rsid w:val="00D60925"/>
    <w:rsid w:val="00D61080"/>
    <w:rsid w:val="00D61A79"/>
    <w:rsid w:val="00D6234B"/>
    <w:rsid w:val="00D631A3"/>
    <w:rsid w:val="00D63B9B"/>
    <w:rsid w:val="00D649D1"/>
    <w:rsid w:val="00D64CA1"/>
    <w:rsid w:val="00D650BF"/>
    <w:rsid w:val="00D660DE"/>
    <w:rsid w:val="00D66145"/>
    <w:rsid w:val="00D6655E"/>
    <w:rsid w:val="00D667D8"/>
    <w:rsid w:val="00D67305"/>
    <w:rsid w:val="00D67520"/>
    <w:rsid w:val="00D67949"/>
    <w:rsid w:val="00D67F9B"/>
    <w:rsid w:val="00D67FE1"/>
    <w:rsid w:val="00D70FAF"/>
    <w:rsid w:val="00D71D3A"/>
    <w:rsid w:val="00D72842"/>
    <w:rsid w:val="00D728BE"/>
    <w:rsid w:val="00D73B50"/>
    <w:rsid w:val="00D73ED8"/>
    <w:rsid w:val="00D74716"/>
    <w:rsid w:val="00D74D38"/>
    <w:rsid w:val="00D7501B"/>
    <w:rsid w:val="00D76C23"/>
    <w:rsid w:val="00D76D38"/>
    <w:rsid w:val="00D76FAF"/>
    <w:rsid w:val="00D77127"/>
    <w:rsid w:val="00D778CA"/>
    <w:rsid w:val="00D77D8B"/>
    <w:rsid w:val="00D77DB6"/>
    <w:rsid w:val="00D8050F"/>
    <w:rsid w:val="00D80633"/>
    <w:rsid w:val="00D80CB2"/>
    <w:rsid w:val="00D80F45"/>
    <w:rsid w:val="00D81E02"/>
    <w:rsid w:val="00D829B5"/>
    <w:rsid w:val="00D82FE9"/>
    <w:rsid w:val="00D832B8"/>
    <w:rsid w:val="00D83B32"/>
    <w:rsid w:val="00D83BA9"/>
    <w:rsid w:val="00D85D95"/>
    <w:rsid w:val="00D8622D"/>
    <w:rsid w:val="00D86D8A"/>
    <w:rsid w:val="00D87E61"/>
    <w:rsid w:val="00D90B26"/>
    <w:rsid w:val="00D92A54"/>
    <w:rsid w:val="00D946AC"/>
    <w:rsid w:val="00D95049"/>
    <w:rsid w:val="00D954F7"/>
    <w:rsid w:val="00D96824"/>
    <w:rsid w:val="00D975DB"/>
    <w:rsid w:val="00D97CFE"/>
    <w:rsid w:val="00DA000E"/>
    <w:rsid w:val="00DA0D02"/>
    <w:rsid w:val="00DA1AA2"/>
    <w:rsid w:val="00DA20CE"/>
    <w:rsid w:val="00DA3135"/>
    <w:rsid w:val="00DA324A"/>
    <w:rsid w:val="00DA36CE"/>
    <w:rsid w:val="00DA428C"/>
    <w:rsid w:val="00DA530F"/>
    <w:rsid w:val="00DA6A03"/>
    <w:rsid w:val="00DA6AB5"/>
    <w:rsid w:val="00DB072F"/>
    <w:rsid w:val="00DB1684"/>
    <w:rsid w:val="00DB1B9C"/>
    <w:rsid w:val="00DB3280"/>
    <w:rsid w:val="00DB66DA"/>
    <w:rsid w:val="00DB751B"/>
    <w:rsid w:val="00DB75C6"/>
    <w:rsid w:val="00DB7665"/>
    <w:rsid w:val="00DB7B7E"/>
    <w:rsid w:val="00DB7DDD"/>
    <w:rsid w:val="00DC07EC"/>
    <w:rsid w:val="00DC0A31"/>
    <w:rsid w:val="00DC0AE0"/>
    <w:rsid w:val="00DC0BF8"/>
    <w:rsid w:val="00DC1190"/>
    <w:rsid w:val="00DC251E"/>
    <w:rsid w:val="00DC2876"/>
    <w:rsid w:val="00DC3303"/>
    <w:rsid w:val="00DC360E"/>
    <w:rsid w:val="00DC4490"/>
    <w:rsid w:val="00DC4674"/>
    <w:rsid w:val="00DC4E55"/>
    <w:rsid w:val="00DC55CF"/>
    <w:rsid w:val="00DC6CE2"/>
    <w:rsid w:val="00DC7C37"/>
    <w:rsid w:val="00DD0076"/>
    <w:rsid w:val="00DD0459"/>
    <w:rsid w:val="00DD0584"/>
    <w:rsid w:val="00DD0DD7"/>
    <w:rsid w:val="00DD25C1"/>
    <w:rsid w:val="00DD4820"/>
    <w:rsid w:val="00DD4BBF"/>
    <w:rsid w:val="00DD5182"/>
    <w:rsid w:val="00DD5975"/>
    <w:rsid w:val="00DD5C77"/>
    <w:rsid w:val="00DD62BC"/>
    <w:rsid w:val="00DD7AFA"/>
    <w:rsid w:val="00DE1DD8"/>
    <w:rsid w:val="00DE1F39"/>
    <w:rsid w:val="00DE3A46"/>
    <w:rsid w:val="00DE3EF1"/>
    <w:rsid w:val="00DE47B3"/>
    <w:rsid w:val="00DE4AFA"/>
    <w:rsid w:val="00DE5292"/>
    <w:rsid w:val="00DE57C2"/>
    <w:rsid w:val="00DE5B9A"/>
    <w:rsid w:val="00DE5C5B"/>
    <w:rsid w:val="00DE5EC8"/>
    <w:rsid w:val="00DE5FC9"/>
    <w:rsid w:val="00DE67C0"/>
    <w:rsid w:val="00DE68B5"/>
    <w:rsid w:val="00DE6CF2"/>
    <w:rsid w:val="00DE6D33"/>
    <w:rsid w:val="00DE6EE5"/>
    <w:rsid w:val="00DE767B"/>
    <w:rsid w:val="00DF0268"/>
    <w:rsid w:val="00DF11F5"/>
    <w:rsid w:val="00DF1D87"/>
    <w:rsid w:val="00DF28F6"/>
    <w:rsid w:val="00DF2A85"/>
    <w:rsid w:val="00DF2CA8"/>
    <w:rsid w:val="00DF3227"/>
    <w:rsid w:val="00DF390B"/>
    <w:rsid w:val="00DF405E"/>
    <w:rsid w:val="00DF48FD"/>
    <w:rsid w:val="00DF5B35"/>
    <w:rsid w:val="00DF6206"/>
    <w:rsid w:val="00DF64A3"/>
    <w:rsid w:val="00DF7074"/>
    <w:rsid w:val="00DF71D1"/>
    <w:rsid w:val="00DF7496"/>
    <w:rsid w:val="00DF762D"/>
    <w:rsid w:val="00E0042D"/>
    <w:rsid w:val="00E00907"/>
    <w:rsid w:val="00E01D21"/>
    <w:rsid w:val="00E02919"/>
    <w:rsid w:val="00E02967"/>
    <w:rsid w:val="00E02D3D"/>
    <w:rsid w:val="00E02E70"/>
    <w:rsid w:val="00E0322A"/>
    <w:rsid w:val="00E0402A"/>
    <w:rsid w:val="00E04351"/>
    <w:rsid w:val="00E04BFA"/>
    <w:rsid w:val="00E0556A"/>
    <w:rsid w:val="00E063EB"/>
    <w:rsid w:val="00E06BDB"/>
    <w:rsid w:val="00E06F43"/>
    <w:rsid w:val="00E07482"/>
    <w:rsid w:val="00E076E6"/>
    <w:rsid w:val="00E079D0"/>
    <w:rsid w:val="00E1005D"/>
    <w:rsid w:val="00E10ED1"/>
    <w:rsid w:val="00E12CF2"/>
    <w:rsid w:val="00E12D92"/>
    <w:rsid w:val="00E14CF9"/>
    <w:rsid w:val="00E159A6"/>
    <w:rsid w:val="00E162C2"/>
    <w:rsid w:val="00E16340"/>
    <w:rsid w:val="00E16595"/>
    <w:rsid w:val="00E1685A"/>
    <w:rsid w:val="00E16A79"/>
    <w:rsid w:val="00E16C38"/>
    <w:rsid w:val="00E174AC"/>
    <w:rsid w:val="00E178B0"/>
    <w:rsid w:val="00E21649"/>
    <w:rsid w:val="00E21A1B"/>
    <w:rsid w:val="00E21C51"/>
    <w:rsid w:val="00E21F4F"/>
    <w:rsid w:val="00E22A29"/>
    <w:rsid w:val="00E235DB"/>
    <w:rsid w:val="00E25424"/>
    <w:rsid w:val="00E25732"/>
    <w:rsid w:val="00E2591A"/>
    <w:rsid w:val="00E2627D"/>
    <w:rsid w:val="00E262D7"/>
    <w:rsid w:val="00E2666B"/>
    <w:rsid w:val="00E275E7"/>
    <w:rsid w:val="00E32418"/>
    <w:rsid w:val="00E325E2"/>
    <w:rsid w:val="00E32C6F"/>
    <w:rsid w:val="00E3483D"/>
    <w:rsid w:val="00E34977"/>
    <w:rsid w:val="00E3501D"/>
    <w:rsid w:val="00E3659C"/>
    <w:rsid w:val="00E36DF1"/>
    <w:rsid w:val="00E37855"/>
    <w:rsid w:val="00E37B68"/>
    <w:rsid w:val="00E40CED"/>
    <w:rsid w:val="00E411DB"/>
    <w:rsid w:val="00E4127B"/>
    <w:rsid w:val="00E416AB"/>
    <w:rsid w:val="00E41974"/>
    <w:rsid w:val="00E42DA8"/>
    <w:rsid w:val="00E43879"/>
    <w:rsid w:val="00E4387E"/>
    <w:rsid w:val="00E446E4"/>
    <w:rsid w:val="00E44765"/>
    <w:rsid w:val="00E45636"/>
    <w:rsid w:val="00E461D4"/>
    <w:rsid w:val="00E46250"/>
    <w:rsid w:val="00E46AA2"/>
    <w:rsid w:val="00E46B70"/>
    <w:rsid w:val="00E46ECF"/>
    <w:rsid w:val="00E470E5"/>
    <w:rsid w:val="00E47972"/>
    <w:rsid w:val="00E47F76"/>
    <w:rsid w:val="00E50463"/>
    <w:rsid w:val="00E507BF"/>
    <w:rsid w:val="00E51587"/>
    <w:rsid w:val="00E5172D"/>
    <w:rsid w:val="00E51DDA"/>
    <w:rsid w:val="00E5238F"/>
    <w:rsid w:val="00E524EE"/>
    <w:rsid w:val="00E52E83"/>
    <w:rsid w:val="00E52F09"/>
    <w:rsid w:val="00E52F9A"/>
    <w:rsid w:val="00E53CF8"/>
    <w:rsid w:val="00E53D47"/>
    <w:rsid w:val="00E5410A"/>
    <w:rsid w:val="00E55547"/>
    <w:rsid w:val="00E5647D"/>
    <w:rsid w:val="00E570D7"/>
    <w:rsid w:val="00E57D19"/>
    <w:rsid w:val="00E603E2"/>
    <w:rsid w:val="00E60F13"/>
    <w:rsid w:val="00E611BC"/>
    <w:rsid w:val="00E619AE"/>
    <w:rsid w:val="00E61E31"/>
    <w:rsid w:val="00E61F50"/>
    <w:rsid w:val="00E62F8A"/>
    <w:rsid w:val="00E6327E"/>
    <w:rsid w:val="00E63F9F"/>
    <w:rsid w:val="00E64C2F"/>
    <w:rsid w:val="00E650BC"/>
    <w:rsid w:val="00E66114"/>
    <w:rsid w:val="00E662E3"/>
    <w:rsid w:val="00E706DF"/>
    <w:rsid w:val="00E70A8B"/>
    <w:rsid w:val="00E716BF"/>
    <w:rsid w:val="00E71923"/>
    <w:rsid w:val="00E71D84"/>
    <w:rsid w:val="00E7209E"/>
    <w:rsid w:val="00E73E1E"/>
    <w:rsid w:val="00E7475C"/>
    <w:rsid w:val="00E74765"/>
    <w:rsid w:val="00E752F6"/>
    <w:rsid w:val="00E7583F"/>
    <w:rsid w:val="00E75CE4"/>
    <w:rsid w:val="00E765EE"/>
    <w:rsid w:val="00E77420"/>
    <w:rsid w:val="00E77542"/>
    <w:rsid w:val="00E77D31"/>
    <w:rsid w:val="00E8038B"/>
    <w:rsid w:val="00E804DD"/>
    <w:rsid w:val="00E804DF"/>
    <w:rsid w:val="00E81874"/>
    <w:rsid w:val="00E81C88"/>
    <w:rsid w:val="00E81EBF"/>
    <w:rsid w:val="00E82320"/>
    <w:rsid w:val="00E83F64"/>
    <w:rsid w:val="00E83F74"/>
    <w:rsid w:val="00E84BB1"/>
    <w:rsid w:val="00E85387"/>
    <w:rsid w:val="00E859AC"/>
    <w:rsid w:val="00E85B1A"/>
    <w:rsid w:val="00E862ED"/>
    <w:rsid w:val="00E863E1"/>
    <w:rsid w:val="00E90012"/>
    <w:rsid w:val="00E903A4"/>
    <w:rsid w:val="00E9040D"/>
    <w:rsid w:val="00E90586"/>
    <w:rsid w:val="00E90ACF"/>
    <w:rsid w:val="00E90DF6"/>
    <w:rsid w:val="00E919A4"/>
    <w:rsid w:val="00E924EE"/>
    <w:rsid w:val="00E93339"/>
    <w:rsid w:val="00E93831"/>
    <w:rsid w:val="00E95E50"/>
    <w:rsid w:val="00EA0151"/>
    <w:rsid w:val="00EA0FC0"/>
    <w:rsid w:val="00EA27B7"/>
    <w:rsid w:val="00EA2F07"/>
    <w:rsid w:val="00EA3B76"/>
    <w:rsid w:val="00EA3FF0"/>
    <w:rsid w:val="00EA43C8"/>
    <w:rsid w:val="00EA4CC4"/>
    <w:rsid w:val="00EA65EA"/>
    <w:rsid w:val="00EB01ED"/>
    <w:rsid w:val="00EB0D78"/>
    <w:rsid w:val="00EB2D0D"/>
    <w:rsid w:val="00EB2F12"/>
    <w:rsid w:val="00EB3068"/>
    <w:rsid w:val="00EB3217"/>
    <w:rsid w:val="00EB3B20"/>
    <w:rsid w:val="00EB4944"/>
    <w:rsid w:val="00EB4BA5"/>
    <w:rsid w:val="00EB5395"/>
    <w:rsid w:val="00EB5948"/>
    <w:rsid w:val="00EB5F9C"/>
    <w:rsid w:val="00EB75C8"/>
    <w:rsid w:val="00EB7AC4"/>
    <w:rsid w:val="00EC0DE8"/>
    <w:rsid w:val="00EC19FF"/>
    <w:rsid w:val="00EC1B54"/>
    <w:rsid w:val="00EC1DB0"/>
    <w:rsid w:val="00EC1ECD"/>
    <w:rsid w:val="00EC2A8E"/>
    <w:rsid w:val="00EC3121"/>
    <w:rsid w:val="00EC33A4"/>
    <w:rsid w:val="00EC4482"/>
    <w:rsid w:val="00EC4C5E"/>
    <w:rsid w:val="00EC50C2"/>
    <w:rsid w:val="00EC5300"/>
    <w:rsid w:val="00EC5310"/>
    <w:rsid w:val="00EC5BC5"/>
    <w:rsid w:val="00EC5C87"/>
    <w:rsid w:val="00EC7410"/>
    <w:rsid w:val="00EC772A"/>
    <w:rsid w:val="00ED007D"/>
    <w:rsid w:val="00ED0A4D"/>
    <w:rsid w:val="00ED0EFF"/>
    <w:rsid w:val="00ED206F"/>
    <w:rsid w:val="00ED2318"/>
    <w:rsid w:val="00ED2368"/>
    <w:rsid w:val="00ED2AA5"/>
    <w:rsid w:val="00ED3528"/>
    <w:rsid w:val="00ED3F58"/>
    <w:rsid w:val="00ED60FD"/>
    <w:rsid w:val="00ED7269"/>
    <w:rsid w:val="00EE0863"/>
    <w:rsid w:val="00EE0B9C"/>
    <w:rsid w:val="00EE1610"/>
    <w:rsid w:val="00EE1E0F"/>
    <w:rsid w:val="00EE253D"/>
    <w:rsid w:val="00EE347A"/>
    <w:rsid w:val="00EE3F66"/>
    <w:rsid w:val="00EE4118"/>
    <w:rsid w:val="00EE43EA"/>
    <w:rsid w:val="00EE4676"/>
    <w:rsid w:val="00EE4C79"/>
    <w:rsid w:val="00EE55FD"/>
    <w:rsid w:val="00EE625F"/>
    <w:rsid w:val="00EE6D6C"/>
    <w:rsid w:val="00EE717E"/>
    <w:rsid w:val="00EE777A"/>
    <w:rsid w:val="00EE7CD7"/>
    <w:rsid w:val="00EF0761"/>
    <w:rsid w:val="00EF0ED7"/>
    <w:rsid w:val="00EF0F1F"/>
    <w:rsid w:val="00EF0FF0"/>
    <w:rsid w:val="00EF1068"/>
    <w:rsid w:val="00EF11D4"/>
    <w:rsid w:val="00EF19C5"/>
    <w:rsid w:val="00EF1F6D"/>
    <w:rsid w:val="00EF209E"/>
    <w:rsid w:val="00EF276F"/>
    <w:rsid w:val="00EF298F"/>
    <w:rsid w:val="00EF3F09"/>
    <w:rsid w:val="00EF4B74"/>
    <w:rsid w:val="00EF62FF"/>
    <w:rsid w:val="00EF6F10"/>
    <w:rsid w:val="00EF7521"/>
    <w:rsid w:val="00EF7933"/>
    <w:rsid w:val="00F00060"/>
    <w:rsid w:val="00F00CE2"/>
    <w:rsid w:val="00F014E1"/>
    <w:rsid w:val="00F0169E"/>
    <w:rsid w:val="00F01703"/>
    <w:rsid w:val="00F02313"/>
    <w:rsid w:val="00F0254F"/>
    <w:rsid w:val="00F02927"/>
    <w:rsid w:val="00F03931"/>
    <w:rsid w:val="00F045B7"/>
    <w:rsid w:val="00F04AC2"/>
    <w:rsid w:val="00F05DD2"/>
    <w:rsid w:val="00F060E7"/>
    <w:rsid w:val="00F06B62"/>
    <w:rsid w:val="00F07584"/>
    <w:rsid w:val="00F10824"/>
    <w:rsid w:val="00F1137F"/>
    <w:rsid w:val="00F113B2"/>
    <w:rsid w:val="00F11B67"/>
    <w:rsid w:val="00F1280A"/>
    <w:rsid w:val="00F136D1"/>
    <w:rsid w:val="00F13AB0"/>
    <w:rsid w:val="00F14028"/>
    <w:rsid w:val="00F14B37"/>
    <w:rsid w:val="00F14DC2"/>
    <w:rsid w:val="00F1560B"/>
    <w:rsid w:val="00F15B87"/>
    <w:rsid w:val="00F1695A"/>
    <w:rsid w:val="00F16FE7"/>
    <w:rsid w:val="00F1739D"/>
    <w:rsid w:val="00F175E3"/>
    <w:rsid w:val="00F17FA8"/>
    <w:rsid w:val="00F20EB4"/>
    <w:rsid w:val="00F22045"/>
    <w:rsid w:val="00F22915"/>
    <w:rsid w:val="00F22E52"/>
    <w:rsid w:val="00F22ED8"/>
    <w:rsid w:val="00F22F5D"/>
    <w:rsid w:val="00F23D14"/>
    <w:rsid w:val="00F241AD"/>
    <w:rsid w:val="00F246EF"/>
    <w:rsid w:val="00F252E2"/>
    <w:rsid w:val="00F254E7"/>
    <w:rsid w:val="00F2679F"/>
    <w:rsid w:val="00F26B76"/>
    <w:rsid w:val="00F274A8"/>
    <w:rsid w:val="00F27E48"/>
    <w:rsid w:val="00F27E87"/>
    <w:rsid w:val="00F31264"/>
    <w:rsid w:val="00F327F4"/>
    <w:rsid w:val="00F32B44"/>
    <w:rsid w:val="00F339A9"/>
    <w:rsid w:val="00F34B20"/>
    <w:rsid w:val="00F354D0"/>
    <w:rsid w:val="00F35DA9"/>
    <w:rsid w:val="00F35E50"/>
    <w:rsid w:val="00F36FD4"/>
    <w:rsid w:val="00F3781A"/>
    <w:rsid w:val="00F378A6"/>
    <w:rsid w:val="00F378CC"/>
    <w:rsid w:val="00F428D1"/>
    <w:rsid w:val="00F4307A"/>
    <w:rsid w:val="00F43291"/>
    <w:rsid w:val="00F4342B"/>
    <w:rsid w:val="00F43902"/>
    <w:rsid w:val="00F43F17"/>
    <w:rsid w:val="00F44AF4"/>
    <w:rsid w:val="00F44D25"/>
    <w:rsid w:val="00F45B36"/>
    <w:rsid w:val="00F46E32"/>
    <w:rsid w:val="00F46FE5"/>
    <w:rsid w:val="00F472F7"/>
    <w:rsid w:val="00F47674"/>
    <w:rsid w:val="00F476E3"/>
    <w:rsid w:val="00F47DF2"/>
    <w:rsid w:val="00F50014"/>
    <w:rsid w:val="00F51BAE"/>
    <w:rsid w:val="00F52A84"/>
    <w:rsid w:val="00F52B6B"/>
    <w:rsid w:val="00F53236"/>
    <w:rsid w:val="00F53D22"/>
    <w:rsid w:val="00F540BA"/>
    <w:rsid w:val="00F551B2"/>
    <w:rsid w:val="00F5629F"/>
    <w:rsid w:val="00F567A2"/>
    <w:rsid w:val="00F57255"/>
    <w:rsid w:val="00F57331"/>
    <w:rsid w:val="00F57822"/>
    <w:rsid w:val="00F60918"/>
    <w:rsid w:val="00F60CF1"/>
    <w:rsid w:val="00F60E11"/>
    <w:rsid w:val="00F612E9"/>
    <w:rsid w:val="00F616E6"/>
    <w:rsid w:val="00F62371"/>
    <w:rsid w:val="00F62C60"/>
    <w:rsid w:val="00F632CB"/>
    <w:rsid w:val="00F6339C"/>
    <w:rsid w:val="00F64147"/>
    <w:rsid w:val="00F6426F"/>
    <w:rsid w:val="00F64DDA"/>
    <w:rsid w:val="00F64F32"/>
    <w:rsid w:val="00F65285"/>
    <w:rsid w:val="00F66027"/>
    <w:rsid w:val="00F6653E"/>
    <w:rsid w:val="00F66897"/>
    <w:rsid w:val="00F66DD2"/>
    <w:rsid w:val="00F66F6F"/>
    <w:rsid w:val="00F700D5"/>
    <w:rsid w:val="00F70D05"/>
    <w:rsid w:val="00F71185"/>
    <w:rsid w:val="00F711E0"/>
    <w:rsid w:val="00F7134F"/>
    <w:rsid w:val="00F7378B"/>
    <w:rsid w:val="00F737D8"/>
    <w:rsid w:val="00F750BC"/>
    <w:rsid w:val="00F76488"/>
    <w:rsid w:val="00F77370"/>
    <w:rsid w:val="00F80152"/>
    <w:rsid w:val="00F80552"/>
    <w:rsid w:val="00F80623"/>
    <w:rsid w:val="00F80BDD"/>
    <w:rsid w:val="00F80CFD"/>
    <w:rsid w:val="00F828F8"/>
    <w:rsid w:val="00F82980"/>
    <w:rsid w:val="00F82B0B"/>
    <w:rsid w:val="00F837D3"/>
    <w:rsid w:val="00F8420A"/>
    <w:rsid w:val="00F851D3"/>
    <w:rsid w:val="00F879D5"/>
    <w:rsid w:val="00F91151"/>
    <w:rsid w:val="00F9124B"/>
    <w:rsid w:val="00F9201B"/>
    <w:rsid w:val="00F923F2"/>
    <w:rsid w:val="00F92444"/>
    <w:rsid w:val="00F926E9"/>
    <w:rsid w:val="00F93718"/>
    <w:rsid w:val="00F93B00"/>
    <w:rsid w:val="00F94039"/>
    <w:rsid w:val="00F9520C"/>
    <w:rsid w:val="00F96547"/>
    <w:rsid w:val="00F96578"/>
    <w:rsid w:val="00FA0240"/>
    <w:rsid w:val="00FA1DBE"/>
    <w:rsid w:val="00FA24DB"/>
    <w:rsid w:val="00FA29F6"/>
    <w:rsid w:val="00FA2F1E"/>
    <w:rsid w:val="00FA30B6"/>
    <w:rsid w:val="00FA5517"/>
    <w:rsid w:val="00FA6666"/>
    <w:rsid w:val="00FA69ED"/>
    <w:rsid w:val="00FA72EC"/>
    <w:rsid w:val="00FA7B85"/>
    <w:rsid w:val="00FB01D0"/>
    <w:rsid w:val="00FB1461"/>
    <w:rsid w:val="00FB2186"/>
    <w:rsid w:val="00FB245F"/>
    <w:rsid w:val="00FB28B4"/>
    <w:rsid w:val="00FB2905"/>
    <w:rsid w:val="00FB427F"/>
    <w:rsid w:val="00FB4E20"/>
    <w:rsid w:val="00FB550F"/>
    <w:rsid w:val="00FB5E60"/>
    <w:rsid w:val="00FB61B7"/>
    <w:rsid w:val="00FB62E8"/>
    <w:rsid w:val="00FB6B8C"/>
    <w:rsid w:val="00FB777A"/>
    <w:rsid w:val="00FB7825"/>
    <w:rsid w:val="00FC098D"/>
    <w:rsid w:val="00FC1159"/>
    <w:rsid w:val="00FC1C68"/>
    <w:rsid w:val="00FC1D5C"/>
    <w:rsid w:val="00FC218D"/>
    <w:rsid w:val="00FC2C66"/>
    <w:rsid w:val="00FC3E5F"/>
    <w:rsid w:val="00FC533E"/>
    <w:rsid w:val="00FC633F"/>
    <w:rsid w:val="00FC6533"/>
    <w:rsid w:val="00FC6B9F"/>
    <w:rsid w:val="00FC73E3"/>
    <w:rsid w:val="00FC7482"/>
    <w:rsid w:val="00FD008D"/>
    <w:rsid w:val="00FD02B6"/>
    <w:rsid w:val="00FD0A68"/>
    <w:rsid w:val="00FD0BDE"/>
    <w:rsid w:val="00FD0C2F"/>
    <w:rsid w:val="00FD2349"/>
    <w:rsid w:val="00FD3B89"/>
    <w:rsid w:val="00FD3FBC"/>
    <w:rsid w:val="00FD437C"/>
    <w:rsid w:val="00FD500D"/>
    <w:rsid w:val="00FD6338"/>
    <w:rsid w:val="00FD6525"/>
    <w:rsid w:val="00FD6E5C"/>
    <w:rsid w:val="00FE061D"/>
    <w:rsid w:val="00FE0D73"/>
    <w:rsid w:val="00FE10E5"/>
    <w:rsid w:val="00FE1D39"/>
    <w:rsid w:val="00FE55DC"/>
    <w:rsid w:val="00FE5702"/>
    <w:rsid w:val="00FE593F"/>
    <w:rsid w:val="00FE5A0F"/>
    <w:rsid w:val="00FE611E"/>
    <w:rsid w:val="00FE6A7D"/>
    <w:rsid w:val="00FE72F7"/>
    <w:rsid w:val="00FF1167"/>
    <w:rsid w:val="00FF32F1"/>
    <w:rsid w:val="00FF34ED"/>
    <w:rsid w:val="00FF3CE0"/>
    <w:rsid w:val="00FF3FEC"/>
    <w:rsid w:val="00FF4616"/>
    <w:rsid w:val="00FF4987"/>
    <w:rsid w:val="00FF4B52"/>
    <w:rsid w:val="00FF59FA"/>
    <w:rsid w:val="00FF5B4B"/>
    <w:rsid w:val="00FF63BA"/>
    <w:rsid w:val="00FF69BB"/>
    <w:rsid w:val="00FF798C"/>
    <w:rsid w:val="00FF7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6373"/>
  <w15:docId w15:val="{BDF68557-A46C-4D2B-85FB-6A16C4B3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9B"/>
    <w:pPr>
      <w:ind w:left="720"/>
      <w:contextualSpacing/>
    </w:pPr>
  </w:style>
  <w:style w:type="paragraph" w:styleId="NormalWeb">
    <w:name w:val="Normal (Web)"/>
    <w:basedOn w:val="Normal"/>
    <w:uiPriority w:val="99"/>
    <w:semiHidden/>
    <w:unhideWhenUsed/>
    <w:rsid w:val="000B7E7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0275E"/>
    <w:rPr>
      <w:color w:val="0000FF"/>
      <w:u w:val="single"/>
    </w:rPr>
  </w:style>
  <w:style w:type="paragraph" w:styleId="Header">
    <w:name w:val="header"/>
    <w:basedOn w:val="Normal"/>
    <w:link w:val="HeaderChar"/>
    <w:uiPriority w:val="99"/>
    <w:unhideWhenUsed/>
    <w:rsid w:val="0038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A3"/>
  </w:style>
  <w:style w:type="paragraph" w:styleId="Footer">
    <w:name w:val="footer"/>
    <w:basedOn w:val="Normal"/>
    <w:link w:val="FooterChar"/>
    <w:uiPriority w:val="99"/>
    <w:unhideWhenUsed/>
    <w:rsid w:val="0038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A3"/>
  </w:style>
  <w:style w:type="paragraph" w:styleId="FootnoteText">
    <w:name w:val="footnote text"/>
    <w:basedOn w:val="Normal"/>
    <w:link w:val="FootnoteTextChar"/>
    <w:uiPriority w:val="99"/>
    <w:unhideWhenUsed/>
    <w:rsid w:val="00F851D3"/>
    <w:pPr>
      <w:spacing w:after="0" w:line="240" w:lineRule="auto"/>
    </w:pPr>
    <w:rPr>
      <w:sz w:val="20"/>
      <w:szCs w:val="20"/>
    </w:rPr>
  </w:style>
  <w:style w:type="character" w:customStyle="1" w:styleId="FootnoteTextChar">
    <w:name w:val="Footnote Text Char"/>
    <w:basedOn w:val="DefaultParagraphFont"/>
    <w:link w:val="FootnoteText"/>
    <w:uiPriority w:val="99"/>
    <w:rsid w:val="00F851D3"/>
    <w:rPr>
      <w:sz w:val="20"/>
      <w:szCs w:val="20"/>
    </w:rPr>
  </w:style>
  <w:style w:type="character" w:styleId="FootnoteReference">
    <w:name w:val="footnote reference"/>
    <w:basedOn w:val="DefaultParagraphFont"/>
    <w:uiPriority w:val="99"/>
    <w:semiHidden/>
    <w:unhideWhenUsed/>
    <w:rsid w:val="00F851D3"/>
    <w:rPr>
      <w:vertAlign w:val="superscript"/>
    </w:rPr>
  </w:style>
  <w:style w:type="character" w:styleId="FollowedHyperlink">
    <w:name w:val="FollowedHyperlink"/>
    <w:basedOn w:val="DefaultParagraphFont"/>
    <w:uiPriority w:val="99"/>
    <w:semiHidden/>
    <w:unhideWhenUsed/>
    <w:rsid w:val="005C1C3E"/>
    <w:rPr>
      <w:color w:val="800080" w:themeColor="followedHyperlink"/>
      <w:u w:val="single"/>
    </w:rPr>
  </w:style>
  <w:style w:type="character" w:styleId="PlaceholderText">
    <w:name w:val="Placeholder Text"/>
    <w:basedOn w:val="DefaultParagraphFont"/>
    <w:uiPriority w:val="99"/>
    <w:semiHidden/>
    <w:rsid w:val="003A4B39"/>
    <w:rPr>
      <w:color w:val="808080"/>
    </w:rPr>
  </w:style>
  <w:style w:type="paragraph" w:styleId="BalloonText">
    <w:name w:val="Balloon Text"/>
    <w:basedOn w:val="Normal"/>
    <w:link w:val="BalloonTextChar"/>
    <w:uiPriority w:val="99"/>
    <w:semiHidden/>
    <w:unhideWhenUsed/>
    <w:rsid w:val="003A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rtlungcirc.org/article/S1443-9506(15)01275-5/pdf" TargetMode="External"/><Relationship Id="rId21" Type="http://schemas.openxmlformats.org/officeDocument/2006/relationships/hyperlink" Target="https://sciblogs.co.nz/public-health-expert/2020/03/23/the-maths-and-ethics-of-minimising-covid-19-deaths-in-nz/" TargetMode="External"/><Relationship Id="rId34" Type="http://schemas.openxmlformats.org/officeDocument/2006/relationships/hyperlink" Target="https://www.ceps.eu/wp-content/uploads/2020/05/PI2020-11_DG_The-great-lockdown.pdf" TargetMode="External"/><Relationship Id="rId42" Type="http://schemas.openxmlformats.org/officeDocument/2006/relationships/hyperlink" Target="https://pubmed.ncbi.nlm.nih.gov/32093749/" TargetMode="External"/><Relationship Id="rId47" Type="http://schemas.openxmlformats.org/officeDocument/2006/relationships/hyperlink" Target="https://files.digital.nhs.uk/91/084B1D/National%20Diabetes%20Audit%2C%202017-18%2C%20Report%202a.pdf" TargetMode="External"/><Relationship Id="rId50" Type="http://schemas.openxmlformats.org/officeDocument/2006/relationships/hyperlink" Target="https://cepr.org/content/covid-economics-vetted-and-real-time-papers-0" TargetMode="External"/><Relationship Id="rId55" Type="http://schemas.openxmlformats.org/officeDocument/2006/relationships/hyperlink" Target="https://www.pnas.org/content/117/35/21201"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dget.gov.au/2020-21/content/myefo/download/01_part_1.pdf" TargetMode="External"/><Relationship Id="rId29" Type="http://schemas.openxmlformats.org/officeDocument/2006/relationships/hyperlink" Target="https://parliament.vic.gov.au/images/stories/committees/paec/COVID-19_Inquiry/Tabled_Documents_Round_2/CBA_Covid_Gigi_Foster.pdf" TargetMode="External"/><Relationship Id="rId11" Type="http://schemas.openxmlformats.org/officeDocument/2006/relationships/hyperlink" Target="https://www.medrxiv.org/content/10.1101/2020.07.23.20160762v2" TargetMode="External"/><Relationship Id="rId24" Type="http://schemas.openxmlformats.org/officeDocument/2006/relationships/hyperlink" Target="https://www.newsroom.co.nz/ideasroom/2020/03/17/1087345/how-much-is-a-nz-life-worth" TargetMode="External"/><Relationship Id="rId32" Type="http://schemas.openxmlformats.org/officeDocument/2006/relationships/hyperlink" Target="https://papers.ssrn.com/sol3/papers.cfm?abstract_id=3631180" TargetMode="External"/><Relationship Id="rId37" Type="http://schemas.openxmlformats.org/officeDocument/2006/relationships/hyperlink" Target="https://theconversation.com/the-costs-of-the-shutdown-are-overestimated-theyre-outweighed-by-its-1-trillion-benefit-138303" TargetMode="External"/><Relationship Id="rId40" Type="http://schemas.openxmlformats.org/officeDocument/2006/relationships/hyperlink" Target="https://www.imf.org/en/Publications/WEO/Issues/2020/09/30/world-economic-outlook-october-2020" TargetMode="External"/><Relationship Id="rId45" Type="http://schemas.openxmlformats.org/officeDocument/2006/relationships/hyperlink" Target="http://www.imperial.ac.uk/people/d.miles" TargetMode="External"/><Relationship Id="rId53" Type="http://schemas.openxmlformats.org/officeDocument/2006/relationships/hyperlink" Target="https://www.rba.gov.au/publications/smp/2020/may/"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who.int/bulletin/volumes/94/12/15-164418/en/" TargetMode="External"/><Relationship Id="rId14" Type="http://schemas.openxmlformats.org/officeDocument/2006/relationships/hyperlink" Target="https://www.nber.org/system/files/working_papers/w27264/w27264.pdf" TargetMode="External"/><Relationship Id="rId22" Type="http://schemas.openxmlformats.org/officeDocument/2006/relationships/hyperlink" Target="https://adaptresearch.files.wordpress.com/2020/03/200318_v2_manuscript-modelling-the-economic-impact-of-covid_19.pdf" TargetMode="External"/><Relationship Id="rId27" Type="http://schemas.openxmlformats.org/officeDocument/2006/relationships/hyperlink" Target="https://www.sciencemag.org/news/2020/07/brain-fog-heart-damage-covid-19-s-lingering-problems-alarm-scientists" TargetMode="External"/><Relationship Id="rId30" Type="http://schemas.openxmlformats.org/officeDocument/2006/relationships/hyperlink" Target="https://clubtroppo.com.au/2020/04/08/how-many-wellbys-is-the-corona-panic-costing/" TargetMode="External"/><Relationship Id="rId35" Type="http://schemas.openxmlformats.org/officeDocument/2006/relationships/hyperlink" Target="https://www.bsg.ox.ac.uk/sites/default/files/2020-05/BSG-WP-2020-032-v6.0.pdf" TargetMode="External"/><Relationship Id="rId43" Type="http://schemas.openxmlformats.org/officeDocument/2006/relationships/hyperlink" Target="mailto:lallym@xtra.co.nz" TargetMode="External"/><Relationship Id="rId48" Type="http://schemas.openxmlformats.org/officeDocument/2006/relationships/hyperlink" Target="https://www.pmc.gov.au/sites/default/files/publications/value-of-statistical-life-guidance-note_0_0.pdf" TargetMode="External"/><Relationship Id="rId56" Type="http://schemas.openxmlformats.org/officeDocument/2006/relationships/hyperlink" Target="https://papers.ssrn.com/sol3/papers.cfm?abstract_id=3609493" TargetMode="External"/><Relationship Id="rId64" Type="http://schemas.openxmlformats.org/officeDocument/2006/relationships/fontTable" Target="fontTable.xml"/><Relationship Id="rId8" Type="http://schemas.openxmlformats.org/officeDocument/2006/relationships/hyperlink" Target="mailto:lallym@xtra.co.nz" TargetMode="External"/><Relationship Id="rId51" Type="http://schemas.openxmlformats.org/officeDocument/2006/relationships/hyperlink" Target="https://www.rba.gov.au/publications/smp/2019/nov/pdf/05-economic-outlook.pdf" TargetMode="External"/><Relationship Id="rId3" Type="http://schemas.openxmlformats.org/officeDocument/2006/relationships/styles" Target="styles.xml"/><Relationship Id="rId12" Type="http://schemas.openxmlformats.org/officeDocument/2006/relationships/hyperlink" Target="https://arxiv.org/pdf/2005.04630.pdf" TargetMode="External"/><Relationship Id="rId17" Type="http://schemas.openxmlformats.org/officeDocument/2006/relationships/hyperlink" Target="https://arxiv.org/abs/2005.03491" TargetMode="External"/><Relationship Id="rId25" Type="http://schemas.openxmlformats.org/officeDocument/2006/relationships/hyperlink" Target="https://www.thelancet.com/journals/eclinm/article/PIIS2589-5370(20)30208-X/fulltext" TargetMode="External"/><Relationship Id="rId33" Type="http://schemas.openxmlformats.org/officeDocument/2006/relationships/hyperlink" Target="https://www.bmj.com/content/370/bmj.m3026" TargetMode="External"/><Relationship Id="rId38" Type="http://schemas.openxmlformats.org/officeDocument/2006/relationships/hyperlink" Target="https://www.jbs.cam.ac.uk/wp-content/uploads/2020/08/wp2003.pdf" TargetMode="External"/><Relationship Id="rId46" Type="http://schemas.openxmlformats.org/officeDocument/2006/relationships/hyperlink" Target="https://www.medrxiv.org/content/10.1101/2020.04.07.20056184v1.full.pdf" TargetMode="External"/><Relationship Id="rId59" Type="http://schemas.openxmlformats.org/officeDocument/2006/relationships/header" Target="header2.xml"/><Relationship Id="rId20" Type="http://schemas.openxmlformats.org/officeDocument/2006/relationships/hyperlink" Target="https://pursuit.unimelb.edu.au/articles/the-maths-and-ethics-of-minimising-covid-19-deaths" TargetMode="External"/><Relationship Id="rId41" Type="http://schemas.openxmlformats.org/officeDocument/2006/relationships/hyperlink" Target="https://www.medrxiv.org/content/10.1101/2020.06.21.20136549v1.full.pdf" TargetMode="External"/><Relationship Id="rId54" Type="http://schemas.openxmlformats.org/officeDocument/2006/relationships/hyperlink" Target="https://www.rba.gov.au/publications/smp/2020/aug/economic-outlook.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dget.gov.au/2019-20/content/myefo/download/01_Part_1.pdf" TargetMode="External"/><Relationship Id="rId23" Type="http://schemas.openxmlformats.org/officeDocument/2006/relationships/hyperlink" Target="https://avalonecon.com/moving-beyond-lives-saved-from-covid-19/" TargetMode="External"/><Relationship Id="rId28" Type="http://schemas.openxmlformats.org/officeDocument/2006/relationships/hyperlink" Target="https://www.imperial.ac.uk/media/imperial-college/medicine/sph/ide/gida-fellowships/Imperial-College-COVID19-NPI-modelling-16-03-2020.pdf" TargetMode="External"/><Relationship Id="rId36" Type="http://schemas.openxmlformats.org/officeDocument/2006/relationships/hyperlink" Target="https://www.medrxiv.org/content/10.1101/2020.07.04.20145334v1" TargetMode="External"/><Relationship Id="rId49" Type="http://schemas.openxmlformats.org/officeDocument/2006/relationships/hyperlink" Target="https://www.pharmac.govt.nz/assets/pfpa-2-2.pdf" TargetMode="External"/><Relationship Id="rId57" Type="http://schemas.openxmlformats.org/officeDocument/2006/relationships/hyperlink" Target="https://www.medrxiv.org/content/10.1101/2020.10.19.20214494v1" TargetMode="External"/><Relationship Id="rId10" Type="http://schemas.openxmlformats.org/officeDocument/2006/relationships/hyperlink" Target="https://www.pmc.gov.au/sites/default/files/publications/Working_paper_2_Peter_Abelson.pdf" TargetMode="External"/><Relationship Id="rId31" Type="http://schemas.openxmlformats.org/officeDocument/2006/relationships/hyperlink" Target="https://cepr.org/content/covid-economics-vetted-and-real-time-papers-0" TargetMode="External"/><Relationship Id="rId44" Type="http://schemas.openxmlformats.org/officeDocument/2006/relationships/hyperlink" Target="https://www.ncbi.nlm.nih.gov/pmc/articles/PMC7369732/" TargetMode="External"/><Relationship Id="rId52" Type="http://schemas.openxmlformats.org/officeDocument/2006/relationships/hyperlink" Target="https://www.rba.gov.au/publications/smp/2020/feb/"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ldometers.info/coronavirus/" TargetMode="External"/><Relationship Id="rId13" Type="http://schemas.openxmlformats.org/officeDocument/2006/relationships/hyperlink" Target="https://www.medrxiv.org/content/medrxiv/early/2020/08/14/2020.08.12.20173526.full.pdf" TargetMode="External"/><Relationship Id="rId18" Type="http://schemas.openxmlformats.org/officeDocument/2006/relationships/hyperlink" Target="https://www.valueinhealthjournal.com/article/S1098-3015%2814%2900054-0/fulltext" TargetMode="External"/><Relationship Id="rId39" Type="http://schemas.openxmlformats.org/officeDocument/2006/relationships/hyperlink" Target="https://www.sciencedirect.com/science/article/pii/S027795361830309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en/development/desa/population/publications/pdf/ageing/household_size_and_composition_around_the_world_2017_data_booklet.pdf" TargetMode="External"/><Relationship Id="rId13" Type="http://schemas.openxmlformats.org/officeDocument/2006/relationships/hyperlink" Target="https://www.worldometers.info/coronavirus/" TargetMode="External"/><Relationship Id="rId18" Type="http://schemas.openxmlformats.org/officeDocument/2006/relationships/hyperlink" Target="http://archive.stats.govt.nz/browse_for_stats/health/life_expectancy/NZLifeTables_HOTP12-14/Data%20Quality.aspx" TargetMode="External"/><Relationship Id="rId3" Type="http://schemas.openxmlformats.org/officeDocument/2006/relationships/hyperlink" Target="https://covidtracker.bsg.ox.ac.uk/" TargetMode="External"/><Relationship Id="rId21" Type="http://schemas.openxmlformats.org/officeDocument/2006/relationships/hyperlink" Target="https://www.abs.gov.au/statistics/labour/employment-and-unemployment/labour-force-australia/latest-release" TargetMode="External"/><Relationship Id="rId7" Type="http://schemas.openxmlformats.org/officeDocument/2006/relationships/hyperlink" Target="https://en.wikipedia.org/wiki/List_of_countries_by_age_structure" TargetMode="External"/><Relationship Id="rId12" Type="http://schemas.openxmlformats.org/officeDocument/2006/relationships/hyperlink" Target="https://www.euromomo.eu/graphs-and-maps" TargetMode="External"/><Relationship Id="rId17" Type="http://schemas.openxmlformats.org/officeDocument/2006/relationships/hyperlink" Target="https://www.worldometers.info/coronavirus/coronavirus-age-sex-demographics/" TargetMode="External"/><Relationship Id="rId25" Type="http://schemas.openxmlformats.org/officeDocument/2006/relationships/hyperlink" Target="https://thehill.com/opinion/healthcare/489962-what-if-the-sky-is-falling-coronavirus-models-are-simply-wrong" TargetMode="External"/><Relationship Id="rId2" Type="http://schemas.openxmlformats.org/officeDocument/2006/relationships/hyperlink" Target="https://covidtracker.bsg.ox.ac.uk/" TargetMode="External"/><Relationship Id="rId16" Type="http://schemas.openxmlformats.org/officeDocument/2006/relationships/hyperlink" Target="https://apps.who.int/gho/data/?theme=main&amp;vid=61600" TargetMode="External"/><Relationship Id="rId20" Type="http://schemas.openxmlformats.org/officeDocument/2006/relationships/hyperlink" Target="https://www.worldometers.info/coronavirus/" TargetMode="External"/><Relationship Id="rId1" Type="http://schemas.openxmlformats.org/officeDocument/2006/relationships/hyperlink" Target="https://www.smh.com.au/politics/federal/australia-prepares-for-50-000-to-150-000-coronavirus-deaths-20200316-p54amn.html" TargetMode="External"/><Relationship Id="rId6" Type="http://schemas.openxmlformats.org/officeDocument/2006/relationships/hyperlink" Target="https://en.wikipedia.org/wiki/List_of_countries_by_GDP_(nominal)_per_capita" TargetMode="External"/><Relationship Id="rId11" Type="http://schemas.openxmlformats.org/officeDocument/2006/relationships/hyperlink" Target="https://www.worldometers.info/coronavirus/" TargetMode="External"/><Relationship Id="rId24" Type="http://schemas.openxmlformats.org/officeDocument/2006/relationships/hyperlink" Target="https://www.rba.gov.au/statistics/" TargetMode="External"/><Relationship Id="rId5" Type="http://schemas.openxmlformats.org/officeDocument/2006/relationships/hyperlink" Target="https://en.wikipedia.org/wiki/List_of_countries_and_dependencies_by_area" TargetMode="External"/><Relationship Id="rId15" Type="http://schemas.openxmlformats.org/officeDocument/2006/relationships/hyperlink" Target="https://www.statista.com/statistics/1107913/number-of-coronavirus-deaths-in-sweden-by-age-groups/" TargetMode="External"/><Relationship Id="rId23" Type="http://schemas.openxmlformats.org/officeDocument/2006/relationships/hyperlink" Target="https://www.rba.gov.au/statistics/tables/" TargetMode="External"/><Relationship Id="rId10" Type="http://schemas.openxmlformats.org/officeDocument/2006/relationships/hyperlink" Target="https://gateway.euro.who.int/en/indicators/hfa_490-5100-nursing-and-elderly-home-beds-per-100-000/" TargetMode="External"/><Relationship Id="rId19" Type="http://schemas.openxmlformats.org/officeDocument/2006/relationships/hyperlink" Target="https://www.rba.gov.au/statistics/" TargetMode="External"/><Relationship Id="rId4" Type="http://schemas.openxmlformats.org/officeDocument/2006/relationships/hyperlink" Target="https://www.worldometers.info/coronavirus/" TargetMode="External"/><Relationship Id="rId9" Type="http://schemas.openxmlformats.org/officeDocument/2006/relationships/hyperlink" Target="https://population.un.org/Household/index.html" TargetMode="External"/><Relationship Id="rId14" Type="http://schemas.openxmlformats.org/officeDocument/2006/relationships/hyperlink" Target="https://www.ined.fr/en/everything_about_population/data/europe-developed-countries/population-births-deaths/" TargetMode="External"/><Relationship Id="rId22" Type="http://schemas.openxmlformats.org/officeDocument/2006/relationships/hyperlink" Target="https://www.aihw.gov.au/reports/life-expectancy-death/deaths-in-australia/contents/life-expect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8CDD-AA12-4A1C-B226-BAC105AE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14424</Words>
  <Characters>82218</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Graham Young</cp:lastModifiedBy>
  <cp:revision>2</cp:revision>
  <cp:lastPrinted>2020-11-24T22:54:00Z</cp:lastPrinted>
  <dcterms:created xsi:type="dcterms:W3CDTF">2021-06-04T06:45:00Z</dcterms:created>
  <dcterms:modified xsi:type="dcterms:W3CDTF">2021-06-04T06:45:00Z</dcterms:modified>
</cp:coreProperties>
</file>